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pStyle w:val="Heading1"/></w:pPr><w:r><w:t>SkyStruct Platform</w:t></w:r></w:p><w:p><w:pPr><w:pStyle w:val="Heading1"/></w:pPr><w:r><w:t>Platform Change Management Plan</w:t></w:r></w:p><w:p><w:r><w:t>HAI-GOV-040-R0.0</w:t></w:r></w:p><w:p><w:r><w:t>ARADA Governance | Employer Representative Office</w:t></w:r></w:p><w:p><w:r><w:br w:type="page"/></w:r></w:p><w:p><w:pPr><w:pStyle w:val="Heading1"/></w:pPr><w:r><w:t>1. Purpose</w:t></w:r></w:p><w:p><w:r><w:t>This document defines the process for requesting, evaluating, approving, implementing, and verifying changes to the SkyStruct governance platform after go-live. It ensures all modifications are controlled, documented, tested, and deployed without disrupting live operations or compromising data integrity.</w:t></w:r></w:p><w:p><w:pPr><w:pStyle w:val="Heading1"/></w:pPr><w:r><w:t>2. Scope</w:t></w:r></w:p><w:p><w:r><w:t>This plan covers all changes to:</w:t></w:r></w:p><w:p><w:pPr><w:pStyle w:val="ListBullet"/></w:pPr><w:r><w:t>Workflow configurations (PF-01 through PF-31)</w:t></w:r></w:p><w:p><w:pPr><w:pStyle w:val="ListBullet"/></w:pPr><w:r><w:t>User roles and permissions (GOV-012)</w:t></w:r></w:p><w:p><w:pPr><w:pStyle w:val="ListBullet"/></w:pPr><w:r><w:t>Notification and SLA rules (GOV-014, GOV-017)</w:t></w:r></w:p><w:p><w:pPr><w:pStyle w:val="ListBullet"/></w:pPr><w:r><w:t>Form and template specifications (GOV-015)</w:t></w:r></w:p><w:p><w:pPr><w:pStyle w:val="ListBullet"/></w:pPr><w:r><w:t>Dashboard configurations (GOV-016)</w:t></w:r></w:p><w:p><w:pPr><w:pStyle w:val="ListBullet"/></w:pPr><w:r><w:t>System integrations (GOV-043)</w:t></w:r></w:p><w:p><w:pPr><w:pStyle w:val="ListBullet"/></w:pPr><w:r><w:t>Data model modifications (GOV-024)</w:t></w:r></w:p><w:p><w:pPr><w:pStyle w:val="ListBullet"/></w:pPr><w:r><w:t>Security policies (GOV-019)</w:t></w:r></w:p><w:p><w:pPr><w:pStyle w:val="Heading1"/></w:pPr><w:r><w:t>3. Change Categories</w:t></w:r></w:p><w:tbl><w:tblPr><w:tblW w:type="auto" w:w="0"/><w:jc w:val="center"/><w:tblLook w:firstColumn="1" w:firstRow="1" w:lastColumn="0" w:lastRow="0" w:noHBand="0" w:noVBand="1" w:val="04A0"/></w:tblPr><w:tblGrid><w:gridCol w:w="1728"/><w:gridCol w:w="1728"/><w:gridCol w:w="1728"/><w:gridCol w:w="1728"/><w:gridCol w:w="1728"/></w:tblGrid><w:tr><w:tc><w:tcPr><w:tcW w:type="dxa" w:w="1728"/><w:shd w:fill="2E4057" w:val="clear"/></w:tcPr><w:p><w:pPr><w:jc w:val="center"/></w:pPr><w:r/><w:r><w:rPr><w:rFonts w:ascii="Arial" w:hAnsi="Arial"/><w:b/><w:color w:val="FFFFFF"/><w:sz w:val="18"/></w:rPr><w:t>Category</w:t></w:r></w:p></w:tc><w:tc><w:tcPr><w:tcW w:type="dxa" w:w="1728"/><w:shd w:fill="2E4057" w:val="clear"/></w:tcPr><w:p><w:pPr><w:jc w:val="center"/></w:pPr><w:r/><w:r><w:rPr><w:rFonts w:ascii="Arial" w:hAnsi="Arial"/><w:b/><w:color w:val="FFFFFF"/><w:sz w:val="18"/></w:rPr><w:t>Description</w:t></w:r></w:p></w:tc><w:tc><w:tcPr><w:tcW w:type="dxa" w:w="1728"/><w:shd w:fill="2E4057" w:val="clear"/></w:tcPr><w:p><w:pPr><w:jc w:val="center"/></w:pPr><w:r/><w:r><w:rPr><w:rFonts w:ascii="Arial" w:hAnsi="Arial"/><w:b/><w:color w:val="FFFFFF"/><w:sz w:val="18"/></w:rPr><w:t>Approval Authority</w:t></w:r></w:p></w:tc><w:tc><w:tcPr><w:tcW w:type="dxa" w:w="1728"/><w:shd w:fill="2E4057" w:val="clear"/></w:tcPr><w:p><w:pPr><w:jc w:val="center"/></w:pPr><w:r/><w:r><w:rPr><w:rFonts w:ascii="Arial" w:hAnsi="Arial"/><w:b/><w:color w:val="FFFFFF"/><w:sz w:val="18"/></w:rPr><w:t>Lead Time</w:t></w:r></w:p></w:tc><w:tc><w:tcPr><w:tcW w:type="dxa" w:w="1728"/><w:shd w:fill="2E4057" w:val="clear"/></w:tcPr><w:p><w:pPr><w:jc w:val="center"/></w:pPr><w:r/><w:r><w:rPr><w:rFonts w:ascii="Arial" w:hAnsi="Arial"/><w:b/><w:color w:val="FFFFFF"/><w:sz w:val="18"/></w:rPr><w:t>Testing Required</w:t></w:r></w:p></w:tc></w:tr><w:tr><w:tc><w:tcPr><w:tcW w:type="dxa" w:w="1728"/></w:tcPr><w:p><w:r/><w:r><w:rPr><w:rFonts w:ascii="Arial" w:hAnsi="Arial"/><w:sz w:val="18"/></w:rPr><w:t>Emergency</w:t></w:r></w:p></w:tc><w:tc><w:tcPr><w:tcW w:type="dxa" w:w="1728"/></w:tcPr><w:p><w:r/><w:r><w:rPr><w:rFonts w:ascii="Arial" w:hAnsi="Arial"/><w:sz w:val="18"/></w:rPr><w:t>Critical defect affecting live operations or data integrity</w:t></w:r></w:p></w:tc><w:tc><w:tcPr><w:tcW w:type="dxa" w:w="1728"/></w:tcPr><w:p><w:r/><w:r><w:rPr><w:rFonts w:ascii="Arial" w:hAnsi="Arial"/><w:sz w:val="18"/></w:rPr><w:t>R14 + R02 (verbal, then documented)</w:t></w:r></w:p></w:tc><w:tc><w:tcPr><w:tcW w:type="dxa" w:w="1728"/></w:tcPr><w:p><w:r/><w:r><w:rPr><w:rFonts w:ascii="Arial" w:hAnsi="Arial"/><w:sz w:val="18"/></w:rPr><w:t>0-4 hours</w:t></w:r></w:p></w:tc><w:tc><w:tcPr><w:tcW w:type="dxa" w:w="1728"/></w:tcPr><w:p><w:r/><w:r><w:rPr><w:rFonts w:ascii="Arial" w:hAnsi="Arial"/><w:sz w:val="18"/></w:rPr><w:t>Post-deployment smoke test</w:t></w:r></w:p></w:tc></w:tr><w:tr><w:tc><w:tcPr><w:tcW w:type="dxa" w:w="1728"/></w:tcPr><w:p><w:r/><w:r><w:rPr><w:rFonts w:ascii="Arial" w:hAnsi="Arial"/><w:sz w:val="18"/></w:rPr><w:t>Standard</w:t></w:r></w:p></w:tc><w:tc><w:tcPr><w:tcW w:type="dxa" w:w="1728"/></w:tcPr><w:p><w:r/><w:r><w:rPr><w:rFonts w:ascii="Arial" w:hAnsi="Arial"/><w:sz w:val="18"/></w:rPr><w:t>Planned enhancement, new feature, workflow modification</w:t></w:r></w:p></w:tc><w:tc><w:tcPr><w:tcW w:type="dxa" w:w="1728"/></w:tcPr><w:p><w:r/><w:r><w:rPr><w:rFonts w:ascii="Arial" w:hAnsi="Arial"/><w:sz w:val="18"/></w:rPr><w:t>R02 + R01 approval</w:t></w:r></w:p></w:tc><w:tc><w:tcPr><w:tcW w:type="dxa" w:w="1728"/></w:tcPr><w:p><w:r/><w:r><w:rPr><w:rFonts w:ascii="Arial" w:hAnsi="Arial"/><w:sz w:val="18"/></w:rPr><w:t>5-10 BD</w:t></w:r></w:p></w:tc><w:tc><w:tcPr><w:tcW w:type="dxa" w:w="1728"/></w:tcPr><w:p><w:r/><w:r><w:rPr><w:rFonts w:ascii="Arial" w:hAnsi="Arial"/><w:sz w:val="18"/></w:rPr><w:t>Full UAT per GOV-041</w:t></w:r></w:p></w:tc></w:tr><w:tr><w:tc><w:tcPr><w:tcW w:type="dxa" w:w="1728"/></w:tcPr><w:p><w:r/><w:r><w:rPr><w:rFonts w:ascii="Arial" w:hAnsi="Arial"/><w:sz w:val="18"/></w:rPr><w:t>Major</w:t></w:r></w:p></w:tc><w:tc><w:tcPr><w:tcW w:type="dxa" w:w="1728"/></w:tcPr><w:p><w:r/><w:r><w:rPr><w:rFonts w:ascii="Arial" w:hAnsi="Arial"/><w:sz w:val="18"/></w:rPr><w:t>Architectural change, new module, data model restructure</w:t></w:r></w:p></w:tc><w:tc><w:tcPr><w:tcW w:type="dxa" w:w="1728"/></w:tcPr><w:p><w:r/><w:r><w:rPr><w:rFonts w:ascii="Arial" w:hAnsi="Arial"/><w:sz w:val="18"/></w:rPr><w:t>R01 + R13 + Change Board</w:t></w:r></w:p></w:tc><w:tc><w:tcPr><w:tcW w:type="dxa" w:w="1728"/></w:tcPr><w:p><w:r/><w:r><w:rPr><w:rFonts w:ascii="Arial" w:hAnsi="Arial"/><w:sz w:val="18"/></w:rPr><w:t>15-30 BD</w:t></w:r></w:p></w:tc><w:tc><w:tcPr><w:tcW w:type="dxa" w:w="1728"/></w:tcPr><w:p><w:r/><w:r><w:rPr><w:rFonts w:ascii="Arial" w:hAnsi="Arial"/><w:sz w:val="18"/></w:rPr><w:t>Full UAT + regression + performance</w:t></w:r></w:p></w:tc></w:tr><w:tr><w:tc><w:tcPr><w:tcW w:type="dxa" w:w="1728"/></w:tcPr><w:p><w:r/><w:r><w:rPr><w:rFonts w:ascii="Arial" w:hAnsi="Arial"/><w:sz w:val="18"/></w:rPr><w:t>Cosmetic</w:t></w:r></w:p></w:tc><w:tc><w:tcPr><w:tcW w:type="dxa" w:w="1728"/></w:tcPr><w:p><w:r/><w:r><w:rPr><w:rFonts w:ascii="Arial" w:hAnsi="Arial"/><w:sz w:val="18"/></w:rPr><w:t>Label changes, color adjustments, report format tweaks</w:t></w:r></w:p></w:tc><w:tc><w:tcPr><w:tcW w:type="dxa" w:w="1728"/></w:tcPr><w:p><w:r/><w:r><w:rPr><w:rFonts w:ascii="Arial" w:hAnsi="Arial"/><w:sz w:val="18"/></w:rPr><w:t>R14 approval</w:t></w:r></w:p></w:tc><w:tc><w:tcPr><w:tcW w:type="dxa" w:w="1728"/></w:tcPr><w:p><w:r/><w:r><w:rPr><w:rFonts w:ascii="Arial" w:hAnsi="Arial"/><w:sz w:val="18"/></w:rPr><w:t>1-3 BD</w:t></w:r></w:p></w:tc><w:tc><w:tcPr><w:tcW w:type="dxa" w:w="1728"/></w:tcPr><w:p><w:r/><w:r><w:rPr><w:rFonts w:ascii="Arial" w:hAnsi="Arial"/><w:sz w:val="18"/></w:rPr><w:t>Visual verification</w:t></w:r></w:p></w:tc></w:tr></w:tbl><w:p><w:pPr><w:pStyle w:val="Heading1"/></w:pPr><w:r><w:t>4. Change Request Process</w:t></w:r></w:p><w:p><w:pPr><w:pStyle w:val="Heading2"/></w:pPr><w:r><w:t>4.1 Step 1: Request Submission</w:t></w:r></w:p><w:p><w:r><w:t>Any user with R01-R14 role may submit a Change Request (CR) via the platform. The CR must include: description of change, business justification, affected modules/PFs, urgency classification, and expected impact on existing workflows.</w:t></w:r></w:p><w:p><w:pPr><w:pStyle w:val="Heading2"/></w:pPr><w:r><w:t>4.2 Step 2: Impact Assessment</w:t></w:r></w:p><w:p><w:r><w:t>R14 (System Administrator) performs technical impact assessment: affected configurations, data migration needs, integration touchpoints, regression risk. R02 (Project Manager) assesses operational impact: user disruption, training needs, process changes.</w:t></w:r></w:p><w:p><w:pPr><w:pStyle w:val="Heading2"/></w:pPr><w:r><w:t>4.3 Step 3: Approval</w:t></w:r></w:p><w:p><w:r><w:t>Based on category: Emergency changes approved verbally by R14 + R02, documented within 24 hours. Standard changes require written approval from R02 and R01. Major changes require Change Board review (R01, R02, R13, R14).</w:t></w:r></w:p><w:p><w:pPr><w:pStyle w:val="Heading2"/></w:pPr><w:r><w:t>4.4 Step 4: Manufacturing & Construction</w:t></w:r></w:p><w:p><w:r><w:t>All changes are first deployed to a staging environment. Configuration changes are exported, version-tagged, and applied. For Standard and Major changes, implementation follows a deployment checklist including: pre-deployment backup, staged rollout, verification steps, and rollback procedure.</w:t></w:r></w:p><w:p><w:pPr><w:pStyle w:val="Heading2"/></w:pPr><w:r><w:t>4.5 Step 5: Testing</w:t></w:r></w:p><w:p><w:r><w:t>Testing requirements per category as defined in section 3. All test results are documented in GOV-041 UAT Test Plan format. No deployment to production without test sign-off.</w:t></w:r></w:p><w:p><w:pPr><w:pStyle w:val="Heading2"/></w:pPr><w:r><w:t>4.6 Step 6: Deployment</w:t></w:r></w:p><w:p><w:r><w:t>Production deployment during maintenance window (Friday 18:00 - Saturday 06:00 Qatar time). R14 executes deployment. R02 verifies post-deployment. Rollback procedure ready within 2 hours of deployment start.</w:t></w:r></w:p><w:p><w:pPr><w:pStyle w:val="Heading2"/></w:pPr><w:r><w:t>4.7 Step 7: Post-Manufacturing & Construction Review</w:t></w:r></w:p><w:p><w:r><w:t>Within 5 business days of deployment: verify change operates as intended, confirm no regression in existing functionality, update affected documentation (GOV-000 register, GOV-001 guidebook, GOV-006 mind map), close CR with lessons learned.</w:t></w:r></w:p><w:p><w:pPr><w:pStyle w:val="Heading1"/></w:pPr><w:r><w:t>5. Version Control</w:t></w:r></w:p><w:p><w:r><w:t>All platform configurations are version-controlled. Each deployment creates a new configuration snapshot. Snapshots are retained for minimum 12 months. Rollback to any previous snapshot is possible within 4 hours.</w:t></w:r></w:p><w:p><w:pPr><w:pStyle w:val="Heading1"/></w:pPr><w:r><w:t>6. Roles and Responsibilities</w:t></w:r></w:p><w:p><w:pPr><w:pStyle w:val="ListBullet"/></w:pPr><w:r><w:t>R14 (System Administrator): Technical assessment, implementation, deployment, staging environment management.</w:t></w:r></w:p><w:p><w:pPr><w:pStyle w:val="ListBullet"/></w:pPr><w:r><w:t>R02 (Project Manager): Operational assessment, approval (Standard), post-deployment verification.</w:t></w:r></w:p><w:p><w:pPr><w:pStyle w:val="ListBullet"/></w:pPr><w:r><w:t>R01 (Programme Director): Approval (Standard + Major), Change Board chair.</w:t></w:r></w:p><w:p><w:pPr><w:pStyle w:val="ListBullet"/></w:pPr><w:r><w:t>R13 (Employer Representative): Approval (Major), governance oversight.</w:t></w:r></w:p><w:p><w:pPr><w:pStyle w:val="ListBullet"/></w:pPr><w:r><w:t>All Users: CR submission, UAT participation when required.</w:t></w:r></w:p><w:sectPr w:rsidR="00FC693F" w:rsidRPr="0006063C" w:rsidSect="00034616"><w:pgSz w:w="12240" w:h="15840"/><w:pgMar w:top="1440" w:right="1800" w:bottom="1440" w:left="1800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A90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