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SkyStruct Platform</w:t>
      </w:r>
    </w:p>
    <w:p>
      <w:pPr>
        <w:pStyle w:val="Heading1"/>
      </w:pPr>
      <w:r>
        <w:t>Data Backup &amp; Disaster Recovery Plan</w:t>
      </w:r>
    </w:p>
    <w:p>
      <w:r>
        <w:t>HAI-GOV-044-R0.0</w:t>
      </w:r>
    </w:p>
    <w:p>
      <w:r>
        <w:t>ARADA Governance | Employer Representative Office</w:t>
      </w:r>
    </w:p>
    <w:p>
      <w:r>
        <w:br w:type="page"/>
      </w:r>
    </w:p>
    <w:p>
      <w:pPr>
        <w:pStyle w:val="Heading1"/>
      </w:pPr>
      <w:r>
        <w:t>1. Purpose</w:t>
      </w:r>
    </w:p>
    <w:p>
      <w:r>
        <w:t>This plan defines the backup strategy, recovery procedures, and business continuity measures for the SkyStruct governance platform. The platform holds contractual records with legal weight under FIDIC 1999 Red Book and QCS 2014. Data loss or extended downtime could result in financial exposure, claim time-bars, and governance failure.</w:t>
      </w:r>
    </w:p>
    <w:p>
      <w:pPr>
        <w:pStyle w:val="Heading1"/>
      </w:pPr>
      <w:r>
        <w:t>2. Recovery Objectives</w:t>
      </w:r>
    </w:p>
    <w:tbl>
      <w:tblPr>
        <w:tblW w:type="auto" w:w="0"/>
        <w:tblLook w:firstColumn="1" w:firstRow="1" w:lastColumn="0" w:lastRow="0" w:noHBand="0" w:noVBand="1" w:val="04A0"/>
      </w:tblPr>
      <w:tblGrid>
        <w:gridCol w:w="2880"/>
        <w:gridCol w:w="2880"/>
        <w:gridCol w:w="2880"/>
      </w:tblGrid>
      <w:tr>
        <w:tc>
          <w:tcPr>
            <w:tcW w:type="dxa" w:w="2880"/>
            <w:shd w:fill="2E4057" w:val="clear"/>
          </w:tcPr>
          <w:p>
            <w:pPr>
              <w:jc w:val="center"/>
            </w:pPr>
            <w:r/>
            <w:r>
              <w:rPr>
                <w:rFonts w:ascii="Arial" w:hAnsi="Arial"/>
                <w:b/>
                <w:color w:val="FFFFFF"/>
                <w:sz w:val="18"/>
              </w:rPr>
              <w:t>Metric</w:t>
            </w:r>
          </w:p>
        </w:tc>
        <w:tc>
          <w:tcPr>
            <w:tcW w:type="dxa" w:w="2880"/>
            <w:shd w:fill="2E4057" w:val="clear"/>
          </w:tcPr>
          <w:p>
            <w:pPr>
              <w:jc w:val="center"/>
            </w:pPr>
            <w:r/>
            <w:r>
              <w:rPr>
                <w:rFonts w:ascii="Arial" w:hAnsi="Arial"/>
                <w:b/>
                <w:color w:val="FFFFFF"/>
                <w:sz w:val="18"/>
              </w:rPr>
              <w:t>Target</w:t>
            </w:r>
          </w:p>
        </w:tc>
        <w:tc>
          <w:tcPr>
            <w:tcW w:type="dxa" w:w="2880"/>
            <w:shd w:fill="2E4057" w:val="clear"/>
          </w:tcPr>
          <w:p>
            <w:pPr>
              <w:jc w:val="center"/>
            </w:pPr>
            <w:r/>
            <w:r>
              <w:rPr>
                <w:rFonts w:ascii="Arial" w:hAnsi="Arial"/>
                <w:b/>
                <w:color w:val="FFFFFF"/>
                <w:sz w:val="18"/>
              </w:rPr>
              <w:t>Justification</w:t>
            </w:r>
          </w:p>
        </w:tc>
      </w:tr>
      <w:tr>
        <w:tc>
          <w:tcPr>
            <w:tcW w:type="dxa" w:w="2880"/>
          </w:tcPr>
          <w:p>
            <w:r/>
            <w:r>
              <w:rPr>
                <w:rFonts w:ascii="Arial" w:hAnsi="Arial"/>
                <w:sz w:val="18"/>
              </w:rPr>
              <w:t>Recovery Time Objective (RTO)</w:t>
            </w:r>
          </w:p>
        </w:tc>
        <w:tc>
          <w:tcPr>
            <w:tcW w:type="dxa" w:w="2880"/>
          </w:tcPr>
          <w:p>
            <w:r/>
            <w:r>
              <w:rPr>
                <w:rFonts w:ascii="Arial" w:hAnsi="Arial"/>
                <w:sz w:val="18"/>
              </w:rPr>
              <w:t>4 hours</w:t>
            </w:r>
          </w:p>
        </w:tc>
        <w:tc>
          <w:tcPr>
            <w:tcW w:type="dxa" w:w="2880"/>
          </w:tcPr>
          <w:p>
            <w:r/>
            <w:r>
              <w:rPr>
                <w:rFonts w:ascii="Arial" w:hAnsi="Arial"/>
                <w:sz w:val="18"/>
              </w:rPr>
              <w:t>FIDIC time-bar periods require continuous system access</w:t>
            </w:r>
          </w:p>
        </w:tc>
      </w:tr>
      <w:tr>
        <w:tc>
          <w:tcPr>
            <w:tcW w:type="dxa" w:w="2880"/>
          </w:tcPr>
          <w:p>
            <w:r/>
            <w:r>
              <w:rPr>
                <w:rFonts w:ascii="Arial" w:hAnsi="Arial"/>
                <w:sz w:val="18"/>
              </w:rPr>
              <w:t>Recovery Point Objective (RPO)</w:t>
            </w:r>
          </w:p>
        </w:tc>
        <w:tc>
          <w:tcPr>
            <w:tcW w:type="dxa" w:w="2880"/>
          </w:tcPr>
          <w:p>
            <w:r/>
            <w:r>
              <w:rPr>
                <w:rFonts w:ascii="Arial" w:hAnsi="Arial"/>
                <w:sz w:val="18"/>
              </w:rPr>
              <w:t>1 hour</w:t>
            </w:r>
          </w:p>
        </w:tc>
        <w:tc>
          <w:tcPr>
            <w:tcW w:type="dxa" w:w="2880"/>
          </w:tcPr>
          <w:p>
            <w:r/>
            <w:r>
              <w:rPr>
                <w:rFonts w:ascii="Arial" w:hAnsi="Arial"/>
                <w:sz w:val="18"/>
              </w:rPr>
              <w:t>IPC certifications, timestamps, notices must not be lost</w:t>
            </w:r>
          </w:p>
        </w:tc>
      </w:tr>
      <w:tr>
        <w:tc>
          <w:tcPr>
            <w:tcW w:type="dxa" w:w="2880"/>
          </w:tcPr>
          <w:p>
            <w:r/>
            <w:r>
              <w:rPr>
                <w:rFonts w:ascii="Arial" w:hAnsi="Arial"/>
                <w:sz w:val="18"/>
              </w:rPr>
              <w:t>Maximum Tolerable Downtime</w:t>
            </w:r>
          </w:p>
        </w:tc>
        <w:tc>
          <w:tcPr>
            <w:tcW w:type="dxa" w:w="2880"/>
          </w:tcPr>
          <w:p>
            <w:r/>
            <w:r>
              <w:rPr>
                <w:rFonts w:ascii="Arial" w:hAnsi="Arial"/>
                <w:sz w:val="18"/>
              </w:rPr>
              <w:t>8 hours</w:t>
            </w:r>
          </w:p>
        </w:tc>
        <w:tc>
          <w:tcPr>
            <w:tcW w:type="dxa" w:w="2880"/>
          </w:tcPr>
          <w:p>
            <w:r/>
            <w:r>
              <w:rPr>
                <w:rFonts w:ascii="Arial" w:hAnsi="Arial"/>
                <w:sz w:val="18"/>
              </w:rPr>
              <w:t>Beyond this, manual contingency procedures activate</w:t>
            </w:r>
          </w:p>
        </w:tc>
      </w:tr>
      <w:tr>
        <w:tc>
          <w:tcPr>
            <w:tcW w:type="dxa" w:w="2880"/>
          </w:tcPr>
          <w:p>
            <w:r/>
            <w:r>
              <w:rPr>
                <w:rFonts w:ascii="Arial" w:hAnsi="Arial"/>
                <w:sz w:val="18"/>
              </w:rPr>
              <w:t>Backup Retention</w:t>
            </w:r>
          </w:p>
        </w:tc>
        <w:tc>
          <w:tcPr>
            <w:tcW w:type="dxa" w:w="2880"/>
          </w:tcPr>
          <w:p>
            <w:r/>
            <w:r>
              <w:rPr>
                <w:rFonts w:ascii="Arial" w:hAnsi="Arial"/>
                <w:sz w:val="18"/>
              </w:rPr>
              <w:t>Daily: 30d, Weekly: 12w, Monthly: 24m</w:t>
            </w:r>
          </w:p>
        </w:tc>
        <w:tc>
          <w:tcPr>
            <w:tcW w:type="dxa" w:w="2880"/>
          </w:tcPr>
          <w:p>
            <w:r/>
            <w:r>
              <w:rPr>
                <w:rFonts w:ascii="Arial" w:hAnsi="Arial"/>
                <w:sz w:val="18"/>
              </w:rPr>
              <w:t>Aligned with GOV-018 retention schedule</w:t>
            </w:r>
          </w:p>
        </w:tc>
      </w:tr>
    </w:tbl>
    <w:p>
      <w:pPr>
        <w:pStyle w:val="Heading1"/>
      </w:pPr>
      <w:r>
        <w:t>3. Backup Strategy</w:t>
      </w:r>
    </w:p>
    <w:p>
      <w:pPr>
        <w:pStyle w:val="Heading2"/>
      </w:pPr>
      <w:r>
        <w:t>3.1 Database Backups</w:t>
      </w:r>
    </w:p>
    <w:p>
      <w:pPr>
        <w:pStyle w:val="ListBullet"/>
      </w:pPr>
      <w:r>
        <w:t>Full backup: Daily at 02:00 Qatar time (non-peak).</w:t>
      </w:r>
    </w:p>
    <w:p>
      <w:pPr>
        <w:pStyle w:val="ListBullet"/>
      </w:pPr>
      <w:r>
        <w:t>Incremental backup: Every 1 hour during business hours (07:00-18:00).</w:t>
      </w:r>
    </w:p>
    <w:p>
      <w:pPr>
        <w:pStyle w:val="ListBullet"/>
      </w:pPr>
      <w:r>
        <w:t>Transaction log backup: Every 15 minutes (continuous).</w:t>
      </w:r>
    </w:p>
    <w:p>
      <w:pPr>
        <w:pStyle w:val="ListBullet"/>
      </w:pPr>
      <w:r>
        <w:t>Encryption: AES-256 at rest and in transit.</w:t>
      </w:r>
    </w:p>
    <w:p>
      <w:pPr>
        <w:pStyle w:val="Heading2"/>
      </w:pPr>
      <w:r>
        <w:t>3.2 File Storage Backups</w:t>
      </w:r>
    </w:p>
    <w:p>
      <w:pPr>
        <w:pStyle w:val="ListBullet"/>
      </w:pPr>
      <w:r>
        <w:t>All uploaded documents backed up daily.</w:t>
      </w:r>
    </w:p>
    <w:p>
      <w:pPr>
        <w:pStyle w:val="ListBullet"/>
      </w:pPr>
      <w:r>
        <w:t>File versioning enabled: all previous versions retained.</w:t>
      </w:r>
    </w:p>
    <w:p>
      <w:pPr>
        <w:pStyle w:val="ListBullet"/>
      </w:pPr>
      <w:r>
        <w:t>Deduplication applied to reduce storage footprint.</w:t>
      </w:r>
    </w:p>
    <w:p>
      <w:pPr>
        <w:pStyle w:val="Heading2"/>
      </w:pPr>
      <w:r>
        <w:t>3.3 Configuration Backups</w:t>
      </w:r>
    </w:p>
    <w:p>
      <w:pPr>
        <w:pStyle w:val="ListBullet"/>
      </w:pPr>
      <w:r>
        <w:t>Platform configuration exported and version-controlled after every change (per GOV-040).</w:t>
      </w:r>
    </w:p>
    <w:p>
      <w:pPr>
        <w:pStyle w:val="ListBullet"/>
      </w:pPr>
      <w:r>
        <w:t>Workflow rules, notification rules, approval matrices, form specs, dashboard configs.</w:t>
      </w:r>
    </w:p>
    <w:p>
      <w:pPr>
        <w:pStyle w:val="ListBullet"/>
      </w:pPr>
      <w:r>
        <w:t>Stored separately from data backups for independent restoration.</w:t>
      </w:r>
    </w:p>
    <w:p>
      <w:pPr>
        <w:pStyle w:val="Heading2"/>
      </w:pPr>
      <w:r>
        <w:t>3.4 Backup Storage Locations</w:t>
      </w:r>
    </w:p>
    <w:p>
      <w:pPr>
        <w:pStyle w:val="ListBullet"/>
      </w:pPr>
      <w:r>
        <w:t>Primary: Local data center (same region as production).</w:t>
      </w:r>
    </w:p>
    <w:p>
      <w:pPr>
        <w:pStyle w:val="ListBullet"/>
      </w:pPr>
      <w:r>
        <w:t>Secondary: Geographically separate data center (minimum 100km distance).</w:t>
      </w:r>
    </w:p>
    <w:p>
      <w:pPr>
        <w:pStyle w:val="ListBullet"/>
      </w:pPr>
      <w:r>
        <w:t>Tertiary: Offline encrypted media stored in secure facility (monthly).</w:t>
      </w:r>
    </w:p>
    <w:p>
      <w:pPr>
        <w:pStyle w:val="Heading1"/>
      </w:pPr>
      <w:r>
        <w:t>4. Disaster Recovery Procedures</w:t>
      </w:r>
    </w:p>
    <w:p>
      <w:pPr>
        <w:pStyle w:val="Heading2"/>
      </w:pPr>
      <w:r>
        <w:t>4.1 Severity Classification</w:t>
      </w:r>
    </w:p>
    <w:tbl>
      <w:tblPr>
        <w:tblW w:type="auto" w:w="0"/>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rFonts w:ascii="Arial" w:hAnsi="Arial"/>
                <w:b/>
                <w:color w:val="FFFFFF"/>
                <w:sz w:val="18"/>
              </w:rPr>
              <w:t>Severity</w:t>
            </w:r>
          </w:p>
        </w:tc>
        <w:tc>
          <w:tcPr>
            <w:tcW w:type="dxa" w:w="2160"/>
            <w:shd w:fill="2E4057" w:val="clear"/>
          </w:tcPr>
          <w:p>
            <w:pPr>
              <w:jc w:val="center"/>
            </w:pPr>
            <w:r/>
            <w:r>
              <w:rPr>
                <w:rFonts w:ascii="Arial" w:hAnsi="Arial"/>
                <w:b/>
                <w:color w:val="FFFFFF"/>
                <w:sz w:val="18"/>
              </w:rPr>
              <w:t>Description</w:t>
            </w:r>
          </w:p>
        </w:tc>
        <w:tc>
          <w:tcPr>
            <w:tcW w:type="dxa" w:w="2160"/>
            <w:shd w:fill="2E4057" w:val="clear"/>
          </w:tcPr>
          <w:p>
            <w:pPr>
              <w:jc w:val="center"/>
            </w:pPr>
            <w:r/>
            <w:r>
              <w:rPr>
                <w:rFonts w:ascii="Arial" w:hAnsi="Arial"/>
                <w:b/>
                <w:color w:val="FFFFFF"/>
                <w:sz w:val="18"/>
              </w:rPr>
              <w:t>Examples</w:t>
            </w:r>
          </w:p>
        </w:tc>
        <w:tc>
          <w:tcPr>
            <w:tcW w:type="dxa" w:w="2160"/>
            <w:shd w:fill="2E4057" w:val="clear"/>
          </w:tcPr>
          <w:p>
            <w:pPr>
              <w:jc w:val="center"/>
            </w:pPr>
            <w:r/>
            <w:r>
              <w:rPr>
                <w:rFonts w:ascii="Arial" w:hAnsi="Arial"/>
                <w:b/>
                <w:color w:val="FFFFFF"/>
                <w:sz w:val="18"/>
              </w:rPr>
              <w:t>Response Time</w:t>
            </w:r>
          </w:p>
        </w:tc>
      </w:tr>
      <w:tr>
        <w:tc>
          <w:tcPr>
            <w:tcW w:type="dxa" w:w="2160"/>
          </w:tcPr>
          <w:p>
            <w:r/>
            <w:r>
              <w:rPr>
                <w:rFonts w:ascii="Arial" w:hAnsi="Arial"/>
                <w:sz w:val="18"/>
              </w:rPr>
              <w:t>S1 Critical</w:t>
            </w:r>
          </w:p>
        </w:tc>
        <w:tc>
          <w:tcPr>
            <w:tcW w:type="dxa" w:w="2160"/>
          </w:tcPr>
          <w:p>
            <w:r/>
            <w:r>
              <w:rPr>
                <w:rFonts w:ascii="Arial" w:hAnsi="Arial"/>
                <w:sz w:val="18"/>
              </w:rPr>
              <w:t>Complete platform unavailable</w:t>
            </w:r>
          </w:p>
        </w:tc>
        <w:tc>
          <w:tcPr>
            <w:tcW w:type="dxa" w:w="2160"/>
          </w:tcPr>
          <w:p>
            <w:r/>
            <w:r>
              <w:rPr>
                <w:rFonts w:ascii="Arial" w:hAnsi="Arial"/>
                <w:sz w:val="18"/>
              </w:rPr>
              <w:t>DC failure, ransomware, total DB corruption</w:t>
            </w:r>
          </w:p>
        </w:tc>
        <w:tc>
          <w:tcPr>
            <w:tcW w:type="dxa" w:w="2160"/>
          </w:tcPr>
          <w:p>
            <w:r/>
            <w:r>
              <w:rPr>
                <w:rFonts w:ascii="Arial" w:hAnsi="Arial"/>
                <w:sz w:val="18"/>
              </w:rPr>
              <w:t>Immediate (0-15 min)</w:t>
            </w:r>
          </w:p>
        </w:tc>
      </w:tr>
      <w:tr>
        <w:tc>
          <w:tcPr>
            <w:tcW w:type="dxa" w:w="2160"/>
          </w:tcPr>
          <w:p>
            <w:r/>
            <w:r>
              <w:rPr>
                <w:rFonts w:ascii="Arial" w:hAnsi="Arial"/>
                <w:sz w:val="18"/>
              </w:rPr>
              <w:t>S2 Major</w:t>
            </w:r>
          </w:p>
        </w:tc>
        <w:tc>
          <w:tcPr>
            <w:tcW w:type="dxa" w:w="2160"/>
          </w:tcPr>
          <w:p>
            <w:r/>
            <w:r>
              <w:rPr>
                <w:rFonts w:ascii="Arial" w:hAnsi="Arial"/>
                <w:sz w:val="18"/>
              </w:rPr>
              <w:t>Key module(s) unavailable</w:t>
            </w:r>
          </w:p>
        </w:tc>
        <w:tc>
          <w:tcPr>
            <w:tcW w:type="dxa" w:w="2160"/>
          </w:tcPr>
          <w:p>
            <w:r/>
            <w:r>
              <w:rPr>
                <w:rFonts w:ascii="Arial" w:hAnsi="Arial"/>
                <w:sz w:val="18"/>
              </w:rPr>
              <w:t>Single module failure, partial data loss</w:t>
            </w:r>
          </w:p>
        </w:tc>
        <w:tc>
          <w:tcPr>
            <w:tcW w:type="dxa" w:w="2160"/>
          </w:tcPr>
          <w:p>
            <w:r/>
            <w:r>
              <w:rPr>
                <w:rFonts w:ascii="Arial" w:hAnsi="Arial"/>
                <w:sz w:val="18"/>
              </w:rPr>
              <w:t>15-60 min</w:t>
            </w:r>
          </w:p>
        </w:tc>
      </w:tr>
      <w:tr>
        <w:tc>
          <w:tcPr>
            <w:tcW w:type="dxa" w:w="2160"/>
          </w:tcPr>
          <w:p>
            <w:r/>
            <w:r>
              <w:rPr>
                <w:rFonts w:ascii="Arial" w:hAnsi="Arial"/>
                <w:sz w:val="18"/>
              </w:rPr>
              <w:t>S3 Minor</w:t>
            </w:r>
          </w:p>
        </w:tc>
        <w:tc>
          <w:tcPr>
            <w:tcW w:type="dxa" w:w="2160"/>
          </w:tcPr>
          <w:p>
            <w:r/>
            <w:r>
              <w:rPr>
                <w:rFonts w:ascii="Arial" w:hAnsi="Arial"/>
                <w:sz w:val="18"/>
              </w:rPr>
              <w:t>Degraded performance</w:t>
            </w:r>
          </w:p>
        </w:tc>
        <w:tc>
          <w:tcPr>
            <w:tcW w:type="dxa" w:w="2160"/>
          </w:tcPr>
          <w:p>
            <w:r/>
            <w:r>
              <w:rPr>
                <w:rFonts w:ascii="Arial" w:hAnsi="Arial"/>
                <w:sz w:val="18"/>
              </w:rPr>
              <w:t>Slow response, intermittent errors</w:t>
            </w:r>
          </w:p>
        </w:tc>
        <w:tc>
          <w:tcPr>
            <w:tcW w:type="dxa" w:w="2160"/>
          </w:tcPr>
          <w:p>
            <w:r/>
            <w:r>
              <w:rPr>
                <w:rFonts w:ascii="Arial" w:hAnsi="Arial"/>
                <w:sz w:val="18"/>
              </w:rPr>
              <w:t>1-4 hours</w:t>
            </w:r>
          </w:p>
        </w:tc>
      </w:tr>
      <w:tr>
        <w:tc>
          <w:tcPr>
            <w:tcW w:type="dxa" w:w="2160"/>
          </w:tcPr>
          <w:p>
            <w:r/>
            <w:r>
              <w:rPr>
                <w:rFonts w:ascii="Arial" w:hAnsi="Arial"/>
                <w:sz w:val="18"/>
              </w:rPr>
              <w:t>S4 Cosmetic</w:t>
            </w:r>
          </w:p>
        </w:tc>
        <w:tc>
          <w:tcPr>
            <w:tcW w:type="dxa" w:w="2160"/>
          </w:tcPr>
          <w:p>
            <w:r/>
            <w:r>
              <w:rPr>
                <w:rFonts w:ascii="Arial" w:hAnsi="Arial"/>
                <w:sz w:val="18"/>
              </w:rPr>
              <w:t>Visual/reporting issues</w:t>
            </w:r>
          </w:p>
        </w:tc>
        <w:tc>
          <w:tcPr>
            <w:tcW w:type="dxa" w:w="2160"/>
          </w:tcPr>
          <w:p>
            <w:r/>
            <w:r>
              <w:rPr>
                <w:rFonts w:ascii="Arial" w:hAnsi="Arial"/>
                <w:sz w:val="18"/>
              </w:rPr>
              <w:t>Dashboard display error, formatting</w:t>
            </w:r>
          </w:p>
        </w:tc>
        <w:tc>
          <w:tcPr>
            <w:tcW w:type="dxa" w:w="2160"/>
          </w:tcPr>
          <w:p>
            <w:r/>
            <w:r>
              <w:rPr>
                <w:rFonts w:ascii="Arial" w:hAnsi="Arial"/>
                <w:sz w:val="18"/>
              </w:rPr>
              <w:t>Next business day</w:t>
            </w:r>
          </w:p>
        </w:tc>
      </w:tr>
    </w:tbl>
    <w:p>
      <w:pPr>
        <w:pStyle w:val="Heading2"/>
      </w:pPr>
      <w:r>
        <w:t>4.2 Recovery Procedure (S1 Critical)</w:t>
      </w:r>
    </w:p>
    <w:p>
      <w:r>
        <w:t>Step 1 (0-15 min): Incident Commander (R14) assesses damage scope, notifies R02 and R01.</w:t>
      </w:r>
    </w:p>
    <w:p>
      <w:r>
        <w:t>Step 2 (15-60 min): Activate DR site. Restore latest backup to secondary data center.</w:t>
      </w:r>
    </w:p>
    <w:p>
      <w:r>
        <w:t>Step 3 (1-2 hours): Verify data integrity. Run consistency checks on restored database.</w:t>
      </w:r>
    </w:p>
    <w:p>
      <w:r>
        <w:t>Step 4 (2-3 hours): Restore file storage from latest backup. Verify document accessibility.</w:t>
      </w:r>
    </w:p>
    <w:p>
      <w:r>
        <w:t>Step 5 (3-4 hours): Restore platform configuration. Verify workflow rules and permissions.</w:t>
      </w:r>
    </w:p>
    <w:p>
      <w:r>
        <w:t>Step 6 (4 hours): Redirect DNS to DR site. Notify all users of restoration.</w:t>
      </w:r>
    </w:p>
    <w:p>
      <w:r>
        <w:t>Step 7 (post-recovery): Investigate root cause. Document incident. Update this plan.</w:t>
      </w:r>
    </w:p>
    <w:p>
      <w:pPr>
        <w:pStyle w:val="Heading1"/>
      </w:pPr>
      <w:r>
        <w:t>5. Testing Schedule</w:t>
      </w:r>
    </w:p>
    <w:p>
      <w:pPr>
        <w:pStyle w:val="ListBullet"/>
      </w:pPr>
      <w:r>
        <w:t>Monthly: Backup verification (restore sample data, verify integrity).</w:t>
      </w:r>
    </w:p>
    <w:p>
      <w:pPr>
        <w:pStyle w:val="ListBullet"/>
      </w:pPr>
      <w:r>
        <w:t>Quarterly: Partial DR test (restore single module to staging environment).</w:t>
      </w:r>
    </w:p>
    <w:p>
      <w:pPr>
        <w:pStyle w:val="ListBullet"/>
      </w:pPr>
      <w:r>
        <w:t>Annually: Full DR simulation (complete failover to secondary site).</w:t>
      </w:r>
    </w:p>
    <w:p>
      <w:pPr>
        <w:pStyle w:val="ListBullet"/>
      </w:pPr>
      <w:r>
        <w:t>All tests documented with: test date, scope, results, issues, corrective actions.</w:t>
      </w:r>
    </w:p>
    <w:p>
      <w:pPr>
        <w:pStyle w:val="Heading1"/>
      </w:pPr>
      <w:r>
        <w:t>6. Manual Contingency Procedures</w:t>
      </w:r>
    </w:p>
    <w:p>
      <w:r>
        <w:t>If platform downtime exceeds 8 hours (Maximum Tolerable Downtime):</w:t>
      </w:r>
    </w:p>
    <w:p>
      <w:pPr>
        <w:pStyle w:val="ListBullet"/>
      </w:pPr>
      <w:r>
        <w:t>Correspondence: Issue via email with read receipts. Log manually in spreadsheet. Upload upon restoration.</w:t>
      </w:r>
    </w:p>
    <w:p>
      <w:pPr>
        <w:pStyle w:val="ListBullet"/>
      </w:pPr>
      <w:r>
        <w:t>Submittals: Accept via email with timestamp. Process through standard review. Upload upon restoration.</w:t>
      </w:r>
    </w:p>
    <w:p>
      <w:pPr>
        <w:pStyle w:val="ListBullet"/>
      </w:pPr>
      <w:r>
        <w:t>IPC: Continue manual certification with Excel templates. Upload upon restoration.</w:t>
      </w:r>
    </w:p>
    <w:p>
      <w:pPr>
        <w:pStyle w:val="ListBullet"/>
      </w:pPr>
      <w:r>
        <w:t>Notices: Issue paper notices per FIDIC 1.3. Scan and upload upon restoration.</w:t>
      </w:r>
    </w:p>
    <w:p>
      <w:r>
        <w:t>All manual records must be uploaded within 24 hours of system restoration to maintain audit trail integrity.</w:t>
      </w:r>
    </w:p>
    <w:p>
      <w:pPr>
        <w:pStyle w:val="Heading1"/>
      </w:pPr>
      <w:r>
        <w:t>7. Roles and Responsibilities</w:t>
      </w:r>
    </w:p>
    <w:p>
      <w:pPr>
        <w:pStyle w:val="ListBullet"/>
      </w:pPr>
      <w:r>
        <w:t>R14 (System Administrator): Incident Commander, executes recovery, manages backups.</w:t>
      </w:r>
    </w:p>
    <w:p>
      <w:pPr>
        <w:pStyle w:val="ListBullet"/>
      </w:pPr>
      <w:r>
        <w:t>R02 (Project Manager): Business impact assessment, user communication, manual procedures.</w:t>
      </w:r>
    </w:p>
    <w:p>
      <w:pPr>
        <w:pStyle w:val="ListBullet"/>
      </w:pPr>
      <w:r>
        <w:t>R01 (Programme Director): Executive escalation, resource authorization.</w:t>
      </w:r>
    </w:p>
    <w:p>
      <w:pPr>
        <w:pStyle w:val="ListBullet"/>
      </w:pPr>
      <w:r>
        <w:t>R13 (Employer Representative): Governance oversight, contractual implications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90D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