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aps/>
          <w:color w:val="C0392B"/>
          <w:spacing w:val="10"/>
          <w:sz w:val="20"/>
          <w:szCs w:val="20"/>
        </w:rPr>
        <w:t xml:space="preserve">BUSINESS PLAN — INNOVATOR FOUNDER VISA ENDORSEMENT</w:t>
      </w:r>
    </w:p>
    <w:p>
      <w:pPr>
        <w:spacing w:after="200" w:before="200"/>
        <w:jc w:val="center"/>
      </w:pPr>
      <w:r>
        <w:rPr>
          <w:rFonts w:ascii="Calibri" w:cs="Calibri" w:eastAsia="Calibri" w:hAnsi="Calibri"/>
          <w:b/>
          <w:bCs/>
          <w:color w:val="1F3B57"/>
          <w:sz w:val="52"/>
          <w:szCs w:val="52"/>
        </w:rPr>
        <w:t xml:space="preserve">AI-Adaptive Bowling Machine</w:t>
      </w:r>
    </w:p>
    <w:p>
      <w:pPr>
        <w:spacing w:after="900"/>
        <w:jc w:val="center"/>
      </w:pPr>
      <w:r>
        <w:rPr>
          <w:rFonts w:ascii="Calibri" w:cs="Calibri" w:eastAsia="Calibri" w:hAnsi="Calibri"/>
          <w:i/>
          <w:iCs/>
          <w:color w:val="5B5B5B"/>
          <w:sz w:val="24"/>
          <w:szCs w:val="24"/>
        </w:rPr>
        <w:t xml:space="preserve">An adaptive cricket training system that reads a batter's skill in real time and changes bowling style the moment it is mastered</w:t>
      </w:r>
    </w:p>
    <w:p>
      <w:pPr>
        <w:spacing w:before="2600"/>
        <w:jc w:val="center"/>
      </w:pPr>
      <w:r>
        <w:rPr>
          <w:rFonts w:ascii="Calibri" w:cs="Calibri" w:eastAsia="Calibri" w:hAnsi="Calibri"/>
          <w:color w:val="5B5B5B"/>
          <w:sz w:val="22"/>
          <w:szCs w:val="22"/>
        </w:rPr>
        <w:t xml:space="preserve">Prepared to support an application under the UK Innovator Founder route</w:t>
      </w:r>
    </w:p>
    <w:p>
      <w:pPr>
        <w:spacing w:before="100"/>
        <w:jc w:val="center"/>
      </w:pPr>
      <w:r>
        <w:rPr>
          <w:rFonts w:ascii="Calibri" w:cs="Calibri" w:eastAsia="Calibri" w:hAnsi="Calibri"/>
          <w:color w:val="5B5B5B"/>
          <w:sz w:val="22"/>
          <w:szCs w:val="22"/>
        </w:rPr>
        <w:t xml:space="preserve">Founder: [Your full name]  ·  August 2026</w:t>
      </w:r>
    </w:p>
    <w:p>
      <w:pPr>
        <w:spacing w:before="140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shd w:fill="FFF7E0" w:val="clear"/>
            <w:tcMar>
              <w:top w:type="dxa" w:w="180"/>
              <w:left w:type="dxa" w:w="220"/>
              <w:bottom w:type="dxa" w:w="180"/>
              <w:right w:type="dxa" w:w="220"/>
            </w:tcMar>
          </w:tcPr>
          <w:p>
            <w:pPr>
              <w:spacing w:after="100"/>
            </w:pPr>
            <w:r>
              <w:rPr>
                <w:rFonts w:ascii="Calibri" w:cs="Calibri" w:eastAsia="Calibri" w:hAnsi="Calibri"/>
                <w:b/>
                <w:bCs/>
                <w:color w:val="8A6D00"/>
                <w:sz w:val="21"/>
                <w:szCs w:val="21"/>
              </w:rPr>
              <w:t xml:space="preserve">Before you use this</w:t>
            </w:r>
          </w:p>
          <w:p>
            <w:pPr>
              <w:spacing w:after="60"/>
            </w:pPr>
            <w:r>
              <w:rPr>
                <w:rFonts w:ascii="Calibri" w:cs="Calibri" w:eastAsia="Calibri" w:hAnsi="Calibri"/>
                <w:color w:val="3D3320"/>
                <w:sz w:val="20"/>
                <w:szCs w:val="20"/>
              </w:rPr>
              <w:t xml:space="preserve">This is a working draft to structure your thinking and your evidence, not a finished, submission-ready business plan and not immigration or legal advice.</w:t>
            </w:r>
          </w:p>
          <w:p>
            <w:pPr>
              <w:spacing w:after="60"/>
            </w:pPr>
            <w:r>
              <w:rPr>
                <w:rFonts w:ascii="Calibri" w:cs="Calibri" w:eastAsia="Calibri" w:hAnsi="Calibri"/>
                <w:color w:val="3D3320"/>
                <w:sz w:val="20"/>
                <w:szCs w:val="20"/>
              </w:rPr>
              <w:t xml:space="preserve">Endorsing bodies assess real founders, not templates — the placeholders in red throughout this document (your background, funding, financials, team) are the parts that will actually decide whether it is endorsed, and they need to be true and evidenced.</w:t>
            </w:r>
          </w:p>
          <w:p>
            <w:pPr>
              <w:spacing w:after="60"/>
            </w:pPr>
            <w:r>
              <w:rPr>
                <w:rFonts w:ascii="Calibri" w:cs="Calibri" w:eastAsia="Calibri" w:hAnsi="Calibri"/>
                <w:color w:val="3D3320"/>
                <w:sz w:val="20"/>
                <w:szCs w:val="20"/>
              </w:rPr>
              <w:t xml:space="preserve">Have the final plan and application reviewed by a regulated UK immigration adviser or solicitor (OISC- or SRA-regulated) before submission — refusals can affect future applications.</w:t>
            </w:r>
          </w:p>
        </w:tc>
      </w:tr>
    </w:tbl>
    <w:p>
      <w:r>
        <w:br w:type="page"/>
      </w:r>
    </w:p>
    <w:p>
      <w:pPr>
        <w:pStyle w:val="Heading1"/>
        <w:pBdr>
          <w:bottom w:val="single" w:color="1F3B57" w:sz="6" w:space="4"/>
        </w:pBdr>
        <w:spacing w:after="200" w:before="400"/>
      </w:pPr>
      <w:r>
        <w:rPr>
          <w:rFonts w:ascii="Calibri" w:cs="Calibri" w:eastAsia="Calibri" w:hAnsi="Calibri"/>
          <w:b/>
          <w:bCs/>
          <w:color w:val="1F3B57"/>
          <w:sz w:val="30"/>
          <w:szCs w:val="30"/>
        </w:rPr>
        <w:t xml:space="preserve">Contents</w:t>
      </w:r>
    </w:p>
    <w:p>
      <w:pPr>
        <w:spacing w:after="130"/>
      </w:pPr>
      <w:r>
        <w:rPr>
          <w:rFonts w:ascii="Calibri" w:cs="Calibri" w:eastAsia="Calibri" w:hAnsi="Calibri"/>
          <w:color w:val="222222"/>
          <w:sz w:val="22"/>
          <w:szCs w:val="22"/>
        </w:rPr>
        <w:t xml:space="preserve">1. Executive Summary</w:t>
      </w:r>
    </w:p>
    <w:p>
      <w:pPr>
        <w:spacing w:after="130"/>
      </w:pPr>
      <w:r>
        <w:rPr>
          <w:rFonts w:ascii="Calibri" w:cs="Calibri" w:eastAsia="Calibri" w:hAnsi="Calibri"/>
          <w:color w:val="222222"/>
          <w:sz w:val="22"/>
          <w:szCs w:val="22"/>
        </w:rPr>
        <w:t xml:space="preserve">2. Founder Profile</w:t>
      </w:r>
    </w:p>
    <w:p>
      <w:pPr>
        <w:spacing w:after="130"/>
      </w:pPr>
      <w:r>
        <w:rPr>
          <w:rFonts w:ascii="Calibri" w:cs="Calibri" w:eastAsia="Calibri" w:hAnsi="Calibri"/>
          <w:color w:val="222222"/>
          <w:sz w:val="22"/>
          <w:szCs w:val="22"/>
        </w:rPr>
        <w:t xml:space="preserve">3. The Innovation</w:t>
      </w:r>
    </w:p>
    <w:p>
      <w:pPr>
        <w:spacing w:after="130"/>
      </w:pPr>
      <w:r>
        <w:rPr>
          <w:rFonts w:ascii="Calibri" w:cs="Calibri" w:eastAsia="Calibri" w:hAnsi="Calibri"/>
          <w:color w:val="222222"/>
          <w:sz w:val="22"/>
          <w:szCs w:val="22"/>
        </w:rPr>
        <w:t xml:space="preserve">4. Market &amp; Competitor Analysis</w:t>
      </w:r>
    </w:p>
    <w:p>
      <w:pPr>
        <w:spacing w:after="130"/>
      </w:pPr>
      <w:r>
        <w:rPr>
          <w:rFonts w:ascii="Calibri" w:cs="Calibri" w:eastAsia="Calibri" w:hAnsi="Calibri"/>
          <w:color w:val="222222"/>
          <w:sz w:val="22"/>
          <w:szCs w:val="22"/>
        </w:rPr>
        <w:t xml:space="preserve">5. Business Model &amp; Operations (Viability)</w:t>
      </w:r>
    </w:p>
    <w:p>
      <w:pPr>
        <w:spacing w:after="130"/>
      </w:pPr>
      <w:r>
        <w:rPr>
          <w:rFonts w:ascii="Calibri" w:cs="Calibri" w:eastAsia="Calibri" w:hAnsi="Calibri"/>
          <w:color w:val="222222"/>
          <w:sz w:val="22"/>
          <w:szCs w:val="22"/>
        </w:rPr>
        <w:t xml:space="preserve">6. Financial Forecasts (Viability)</w:t>
      </w:r>
    </w:p>
    <w:p>
      <w:pPr>
        <w:spacing w:after="130"/>
      </w:pPr>
      <w:r>
        <w:rPr>
          <w:rFonts w:ascii="Calibri" w:cs="Calibri" w:eastAsia="Calibri" w:hAnsi="Calibri"/>
          <w:color w:val="222222"/>
          <w:sz w:val="22"/>
          <w:szCs w:val="22"/>
        </w:rPr>
        <w:t xml:space="preserve">7. Growth &amp; Job Creation Plan (Scalability)</w:t>
      </w:r>
    </w:p>
    <w:p>
      <w:pPr>
        <w:spacing w:after="130"/>
      </w:pPr>
      <w:r>
        <w:rPr>
          <w:rFonts w:ascii="Calibri" w:cs="Calibri" w:eastAsia="Calibri" w:hAnsi="Calibri"/>
          <w:color w:val="222222"/>
          <w:sz w:val="22"/>
          <w:szCs w:val="22"/>
        </w:rPr>
        <w:t xml:space="preserve">8. Development Roadmap</w:t>
      </w:r>
    </w:p>
    <w:p>
      <w:pPr>
        <w:spacing w:after="130"/>
      </w:pPr>
      <w:r>
        <w:rPr>
          <w:rFonts w:ascii="Calibri" w:cs="Calibri" w:eastAsia="Calibri" w:hAnsi="Calibri"/>
          <w:color w:val="222222"/>
          <w:sz w:val="22"/>
          <w:szCs w:val="22"/>
        </w:rPr>
        <w:t xml:space="preserve">9. Risk Assessment</w:t>
      </w:r>
    </w:p>
    <w:p>
      <w:pPr>
        <w:spacing w:after="130"/>
      </w:pPr>
      <w:r>
        <w:rPr>
          <w:rFonts w:ascii="Calibri" w:cs="Calibri" w:eastAsia="Calibri" w:hAnsi="Calibri"/>
          <w:color w:val="222222"/>
          <w:sz w:val="22"/>
          <w:szCs w:val="22"/>
        </w:rPr>
        <w:t xml:space="preserve">10. The Endorsement Process — What Else Is Needed</w:t>
      </w:r>
    </w:p>
    <w:p>
      <w:pPr>
        <w:spacing w:after="130"/>
      </w:pPr>
      <w:r>
        <w:rPr>
          <w:rFonts w:ascii="Calibri" w:cs="Calibri" w:eastAsia="Calibri" w:hAnsi="Calibri"/>
          <w:color w:val="222222"/>
          <w:sz w:val="22"/>
          <w:szCs w:val="22"/>
        </w:rPr>
        <w:t xml:space="preserve">11. Conclusion</w:t>
      </w:r>
    </w:p>
    <w:p>
      <w:r>
        <w:br w:type="page"/>
      </w:r>
    </w:p>
    <w:p>
      <w:pPr>
        <w:pStyle w:val="Heading1"/>
        <w:pBdr>
          <w:bottom w:val="single" w:color="1F3B57" w:sz="6" w:space="4"/>
        </w:pBdr>
        <w:spacing w:after="200" w:before="400"/>
      </w:pPr>
      <w:r>
        <w:rPr>
          <w:rFonts w:ascii="Calibri" w:cs="Calibri" w:eastAsia="Calibri" w:hAnsi="Calibri"/>
          <w:b/>
          <w:bCs/>
          <w:color w:val="1F3B57"/>
          <w:sz w:val="30"/>
          <w:szCs w:val="30"/>
        </w:rPr>
        <w:t xml:space="preserve">1. Executive Summary</w:t>
      </w:r>
    </w:p>
    <w:p>
      <w:pPr>
        <w:spacing w:after="160" w:line="276"/>
      </w:pPr>
      <w:r>
        <w:rPr>
          <w:rFonts w:ascii="Calibri" w:cs="Calibri" w:eastAsia="Calibri" w:hAnsi="Calibri"/>
          <w:color w:val="222222"/>
          <w:sz w:val="22"/>
          <w:szCs w:val="22"/>
        </w:rPr>
        <w:t xml:space="preserve">[Company name] is developing an AI-adaptive cricket bowling machine — a training system that senses how a batter is playing each delivery style in real time and switches pace, line, length, swing, or spin the moment the player has mastered the current pattern, rather than varying on a timer or at random as existing machines do.</w:t>
      </w:r>
    </w:p>
    <w:p>
      <w:pPr>
        <w:spacing w:after="160" w:line="276"/>
      </w:pPr>
      <w:r>
        <w:rPr>
          <w:rFonts w:ascii="Calibri" w:cs="Calibri" w:eastAsia="Calibri" w:hAnsi="Calibri"/>
          <w:color w:val="222222"/>
          <w:sz w:val="22"/>
          <w:szCs w:val="22"/>
        </w:rPr>
        <w:t xml:space="preserve">Cricket coaching already recognises this problem: a bowling machine that repeats or randomises on a schedule lets a batter groove a pattern instead of learning to read genuine uncertainty. No product on the market today closes the loop between a batter's actual, measured performance and the machine's next delivery decision. This is the gap the business is built to fill, combining computer-vision player analysis with a decision engine that starts rule-based and evolves into a learned, reinforcement-learning policy as session data accumulates.</w:t>
      </w:r>
    </w:p>
    <w:p>
      <w:pPr>
        <w:spacing w:after="160" w:line="276"/>
      </w:pPr>
      <w:r>
        <w:rPr>
          <w:rFonts w:ascii="Calibri" w:cs="Calibri" w:eastAsia="Calibri" w:hAnsi="Calibri"/>
          <w:color w:val="222222"/>
          <w:sz w:val="22"/>
          <w:szCs w:val="22"/>
        </w:rPr>
        <w:t xml:space="preserve">The business is being founded and will be led from the UK by [your name], who brings [one or two sentences on your relevant background — technical, sporting, or commercial]. This plan sets out the innovation, the path to a viable and revenue-generating business, and a scalability plan built around UK job creation and international expansion, in support of an application under the Innovator Founder route.</w:t>
      </w:r>
    </w:p>
    <w:p>
      <w:pPr>
        <w:pStyle w:val="Heading1"/>
        <w:pBdr>
          <w:bottom w:val="single" w:color="1F3B57" w:sz="6" w:space="4"/>
        </w:pBdr>
        <w:spacing w:after="200" w:before="400"/>
      </w:pPr>
      <w:r>
        <w:rPr>
          <w:rFonts w:ascii="Calibri" w:cs="Calibri" w:eastAsia="Calibri" w:hAnsi="Calibri"/>
          <w:b/>
          <w:bCs/>
          <w:color w:val="1F3B57"/>
          <w:sz w:val="30"/>
          <w:szCs w:val="30"/>
        </w:rPr>
        <w:t xml:space="preserve">2. Founder Profile</w:t>
      </w:r>
    </w:p>
    <w:p>
      <w:pPr>
        <w:spacing w:after="160" w:line="276"/>
      </w:pPr>
      <w:r>
        <w:rPr>
          <w:rFonts w:ascii="Calibri" w:cs="Calibri" w:eastAsia="Calibri" w:hAnsi="Calibri"/>
          <w:color w:val="222222"/>
          <w:sz w:val="22"/>
          <w:szCs w:val="22"/>
        </w:rPr>
        <w:t xml:space="preserve">Endorsing bodies assess the founder as closely as the idea — they need to see genuine, hands-on ownership of the business, not a licensed or inherited concept. This section should be written in the first person in the final application and supported by a CV.</w:t>
      </w:r>
    </w:p>
    <w:p>
      <w:pPr>
        <w:spacing w:after="160" w:line="276"/>
      </w:pPr>
      <w:r>
        <w:rPr>
          <w:rFonts w:ascii="Calibri" w:cs="Calibri" w:eastAsia="Calibri" w:hAnsi="Calibri"/>
          <w:i/>
          <w:iCs/>
          <w:color w:val="C0392B"/>
          <w:sz w:val="22"/>
          <w:szCs w:val="22"/>
        </w:rPr>
        <w:t xml:space="preserve">[Your relevant background: technical/engineering, coaching, sports-tech, or entrepreneurial experience]</w:t>
      </w:r>
    </w:p>
    <w:p>
      <w:pPr>
        <w:spacing w:after="160" w:line="276"/>
      </w:pPr>
      <w:r>
        <w:rPr>
          <w:rFonts w:ascii="Calibri" w:cs="Calibri" w:eastAsia="Calibri" w:hAnsi="Calibri"/>
          <w:i/>
          <w:iCs/>
          <w:color w:val="C0392B"/>
          <w:sz w:val="22"/>
          <w:szCs w:val="22"/>
        </w:rPr>
        <w:t xml:space="preserve">[Your specific, ongoing role in the business (e.g. product lead, day-to-day decision-maker) and time commitment]</w:t>
      </w:r>
    </w:p>
    <w:p>
      <w:pPr>
        <w:spacing w:after="160" w:line="276"/>
      </w:pPr>
      <w:r>
        <w:rPr>
          <w:rFonts w:ascii="Calibri" w:cs="Calibri" w:eastAsia="Calibri" w:hAnsi="Calibri"/>
          <w:i/>
          <w:iCs/>
          <w:color w:val="C0392B"/>
          <w:sz w:val="22"/>
          <w:szCs w:val="22"/>
        </w:rPr>
        <w:t xml:space="preserve">[Evidence of genuine involvement so far: prototypes built, code written, coaches consulted, prior ventures]</w:t>
      </w:r>
    </w:p>
    <w:p>
      <w:pPr>
        <w:spacing w:after="160" w:line="276"/>
      </w:pPr>
      <w:r>
        <w:rPr>
          <w:rFonts w:ascii="Calibri" w:cs="Calibri" w:eastAsia="Calibri" w:hAnsi="Calibri"/>
          <w:i/>
          <w:iCs/>
          <w:color w:val="C0392B"/>
          <w:sz w:val="22"/>
          <w:szCs w:val="22"/>
        </w:rPr>
        <w:t xml:space="preserve">[Any co-founders or key early hires, and how responsibilities are divided]</w:t>
      </w:r>
    </w:p>
    <w:p>
      <w:pPr>
        <w:spacing w:after="160" w:line="276"/>
      </w:pPr>
      <w:r>
        <w:rPr>
          <w:rFonts w:ascii="Calibri" w:cs="Calibri" w:eastAsia="Calibri" w:hAnsi="Calibri"/>
          <w:b/>
          <w:bCs/>
          <w:color w:val="1F3B57"/>
          <w:sz w:val="22"/>
          <w:szCs w:val="22"/>
        </w:rPr>
        <w:t xml:space="preserve">Why this matters: </w:t>
      </w:r>
      <w:r>
        <w:rPr>
          <w:rFonts w:ascii="Calibri" w:cs="Calibri" w:eastAsia="Calibri" w:hAnsi="Calibri"/>
          <w:color w:val="222222"/>
          <w:sz w:val="22"/>
          <w:szCs w:val="22"/>
        </w:rPr>
        <w:t xml:space="preserve">endorsing bodies are trained to probe whether the applicant genuinely originated and drives the idea, or is a passive investor or hired figurehead. Interview preparation should let you speak fluently and specifically about product decisions, market understanding, and financial assumptions in this plan — generic or rehearsed answers are the most common reason confident-looking applications fail at interview.</w:t>
      </w:r>
    </w:p>
    <w:p>
      <w:pPr>
        <w:pStyle w:val="Heading1"/>
        <w:pBdr>
          <w:bottom w:val="single" w:color="1F3B57" w:sz="6" w:space="4"/>
        </w:pBdr>
        <w:spacing w:after="200" w:before="400"/>
      </w:pPr>
      <w:r>
        <w:rPr>
          <w:rFonts w:ascii="Calibri" w:cs="Calibri" w:eastAsia="Calibri" w:hAnsi="Calibri"/>
          <w:b/>
          <w:bCs/>
          <w:color w:val="1F3B57"/>
          <w:sz w:val="30"/>
          <w:szCs w:val="30"/>
        </w:rPr>
        <w:t xml:space="preserve">3. The Innovation</w:t>
      </w:r>
    </w:p>
    <w:p>
      <w:pPr>
        <w:spacing w:after="160" w:line="276"/>
      </w:pPr>
      <w:r>
        <w:rPr>
          <w:rFonts w:ascii="Calibri" w:cs="Calibri" w:eastAsia="Calibri" w:hAnsi="Calibri"/>
          <w:color w:val="222222"/>
          <w:sz w:val="22"/>
          <w:szCs w:val="22"/>
        </w:rPr>
        <w:t>The Innovator Founder route requires an idea that is original and different from anything else currently on the market. The precise, defensible claim here is narrower than “nobody has built an adaptive ball machine” — that general mechanism already exists and is patented in an adjacent sport (tennis; see Section 3.2). The original claim this application makes is that no cricket-specific bowling machine closes the loop between real-time batter performance and autonomous delivery selection — verified by direct research, not assumed — and that the cricket-specific execution (delivery physics, retrofit distribution model, nets-practice framing) is a distinct opportunity even though the general adaptive-machine concept is not being claimed as novel. Addressing this directly, rather than having an endorsing body's own diligence surface it, is the credible way to make this case.</w:t>
      </w:r>
    </w:p>
    <w:p>
      <w:pPr>
        <w:pStyle w:val="Heading2"/>
        <w:spacing w:after="150" w:before="300"/>
      </w:pPr>
      <w:r>
        <w:rPr>
          <w:rFonts w:ascii="Calibri" w:cs="Calibri" w:eastAsia="Calibri" w:hAnsi="Calibri"/>
          <w:b/>
          <w:bCs/>
          <w:color w:val="1F3B57"/>
          <w:sz w:val="24"/>
          <w:szCs w:val="24"/>
        </w:rPr>
        <w:t xml:space="preserve">3.1 What exists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rPr>
          <w:tblHeader/>
        </w:trPr>
        <w:tc>
          <w:tcPr>
            <w:tcW w:type="dxa" w:w="26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System</w:t>
            </w:r>
          </w:p>
        </w:tc>
        <w:tc>
          <w:tcPr>
            <w:tcW w:type="dxa" w:w="36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What it offers</w:t>
            </w:r>
          </w:p>
        </w:tc>
        <w:tc>
          <w:tcPr>
            <w:tcW w:type="dxa" w:w="38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What it does not do</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BOLA Professional</w:t>
            </w:r>
          </w:p>
        </w:tc>
        <w:tc>
          <w:tcPr>
            <w:tcW w:type="dxa" w:w="3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Mechanically reliable delivery; manual line/length/swing control; an electronic random mode that varies speed and swing per ball.</w:t>
            </w:r>
          </w:p>
        </w:tc>
        <w:tc>
          <w:tcPr>
            <w:tcW w:type="dxa" w:w="38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Variation is scheduled or randomised — never tied to how the specific batter facing it is actually performing.</w:t>
            </w:r>
          </w:p>
        </w:tc>
      </w:tr>
      <w:tr>
        <w:tc>
          <w:tcPr>
            <w:tcW w:type="dxa" w:w="2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ProBatter PX3</w:t>
            </w:r>
          </w:p>
        </w:tc>
        <w:tc>
          <w:tcPr>
            <w:tcW w:type="dxa" w:w="3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Projects a real bowler's run-up and action for realistic visual timing; a large pre-programmable library of styles and speeds.</w:t>
            </w:r>
          </w:p>
        </w:tc>
        <w:tc>
          <w:tcPr>
            <w:tcW w:type="dxa" w:w="38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Sequences are set by a coach in advance; the system has no way to sense in-session mastery and respond to it.</w:t>
            </w:r>
          </w:p>
        </w:tc>
      </w:tr>
      <w:tr>
        <w:tc>
          <w:tcPr>
            <w:tcW w:type="dxa" w:w="2600"/>
          </w:tcPr>
          <w:p>
            <w:r/>
            <w:r>
              <w:rPr>
                <w:rFonts w:ascii="Calibri" w:hAnsi="Calibri"/>
                <w:b w:val="0"/>
                <w:sz w:val="20"/>
              </w:rPr>
              <w:t>BOLA TrueMan3</w:t>
            </w:r>
          </w:p>
        </w:tc>
        <w:tc>
          <w:tcPr>
            <w:tcW w:type="dxa" w:w="3600"/>
          </w:tcPr>
          <w:p>
            <w:r/>
            <w:r>
              <w:rPr>
                <w:rFonts w:ascii="Calibri" w:hAnsi="Calibri"/>
                <w:b w:val="0"/>
                <w:sz w:val="20"/>
              </w:rPr>
              <w:t>LED screen plays a real bowler's run-up/action synced to release; app-programmable line/length/speed/swing; deployed by Pakistan's PCB, July 2026.</w:t>
            </w:r>
          </w:p>
        </w:tc>
        <w:tc>
          <w:tcPr>
            <w:tcW w:type="dxa" w:w="3800"/>
          </w:tcPr>
          <w:p>
            <w:r/>
            <w:r>
              <w:rPr>
                <w:rFonts w:ascii="Calibri" w:hAnsi="Calibri"/>
                <w:b w:val="0"/>
                <w:sz w:val="20"/>
              </w:rPr>
              <w:t>Shuffling saved deliveries is still schedule/coach-driven, not tied to the batter's actual success rate — same gap as BOLA Professional, better presentation.</w:t>
            </w:r>
          </w:p>
        </w:tc>
      </w:tr>
      <w:tr>
        <w:tc>
          <w:tcPr>
            <w:tcW w:type="dxa" w:w="2600"/>
          </w:tcPr>
          <w:p>
            <w:r/>
            <w:r>
              <w:rPr>
                <w:rFonts w:ascii="Calibri" w:hAnsi="Calibri"/>
                <w:b w:val="0"/>
                <w:sz w:val="20"/>
              </w:rPr>
              <w:t>Fulltrack AI (analytics, not a machine)</w:t>
            </w:r>
          </w:p>
        </w:tc>
        <w:tc>
          <w:tcPr>
            <w:tcW w:type="dxa" w:w="3600"/>
          </w:tcPr>
          <w:p>
            <w:r/>
            <w:r>
              <w:rPr>
                <w:rFonts w:ascii="Calibri" w:hAnsi="Calibri"/>
                <w:b w:val="0"/>
                <w:sz w:val="20"/>
              </w:rPr>
              <w:t>Peer-reviewed single-smartphone ball tracking, validated against 3D motion capture and a radar gun.</w:t>
            </w:r>
          </w:p>
        </w:tc>
        <w:tc>
          <w:tcPr>
            <w:tcW w:type="dxa" w:w="3800"/>
          </w:tcPr>
          <w:p>
            <w:r/>
            <w:r>
              <w:rPr>
                <w:rFonts w:ascii="Calibri" w:hAnsi="Calibri"/>
                <w:b w:val="0"/>
                <w:sz w:val="20"/>
              </w:rPr>
              <w:t>Pure analytics — doesn't drive a machine; a human still has to act on it.</w:t>
            </w:r>
          </w:p>
        </w:tc>
      </w:tr>
      <w:tr>
        <w:tc>
          <w:tcPr>
            <w:tcW w:type="dxa" w:w="2600"/>
          </w:tcPr>
          <w:p>
            <w:r/>
            <w:r>
              <w:rPr>
                <w:rFonts w:ascii="Calibri" w:hAnsi="Calibri"/>
                <w:b w:val="0"/>
                <w:sz w:val="20"/>
              </w:rPr>
              <w:t>Tennis precedent (Pongbot PACE S Pro, “The Partner”)</w:t>
            </w:r>
          </w:p>
        </w:tc>
        <w:tc>
          <w:tcPr>
            <w:tcW w:type="dxa" w:w="3600"/>
          </w:tcPr>
          <w:p>
            <w:r/>
            <w:r>
              <w:rPr>
                <w:rFonts w:ascii="Calibri" w:hAnsi="Calibri"/>
                <w:b w:val="0"/>
                <w:sz w:val="20"/>
              </w:rPr>
              <w:t>Already closes this exact loop commercially in tennis — proves the mechanism, not a cricket product.</w:t>
            </w:r>
          </w:p>
        </w:tc>
        <w:tc>
          <w:tcPr>
            <w:tcW w:type="dxa" w:w="3800"/>
          </w:tcPr>
          <w:p>
            <w:r/>
            <w:r>
              <w:rPr>
                <w:rFonts w:ascii="Calibri" w:hAnsi="Calibri"/>
                <w:b w:val="0"/>
                <w:sz w:val="20"/>
              </w:rPr>
              <w:t>N/A — shown to be transparent about what is and isn't original here (see Section 3).</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[Company name]</w:t>
            </w:r>
          </w:p>
        </w:tc>
        <w:tc>
          <w:tcPr>
            <w:tcW w:type="dxa" w:w="3600"/>
            <w:tcMar>
              <w:top w:type="dxa" w:w="100"/>
              <w:left w:type="dxa" w:w="120"/>
              <w:bottom w:type="dxa" w:w="100"/>
              <w:right w:type="dxa" w:w="120"/>
            </w:tcMar>
            <w:vAlign w:val="center"/>
          </w:tcPr>
          <w:p>
            <w:r/>
            <w:r>
              <w:rPr>
                <w:rFonts w:ascii="Calibri" w:hAnsi="Calibri"/>
                <w:b w:val="0"/>
                <w:sz w:val="20"/>
              </w:rPr>
              <w:t>Reads batter performance per delivery style in real time via computer vision, scores how well the style has been “mastered,” and switches the moment it has — first application of this loop to cricket specifically. Sold as a retrofit brain for machines academies already own (not a new capital purchase), framed around nets-practice outcomes rather than match-realism, with continuously varied physics-generated deliveries rather than a small preset dial.</w:t>
            </w:r>
          </w:p>
        </w:tc>
        <w:tc>
          <w:tcPr>
            <w:tcW w:type="dxa" w:w="3800"/>
            <w:tcMar>
              <w:top w:type="dxa" w:w="100"/>
              <w:left w:type="dxa" w:w="120"/>
              <w:bottom w:type="dxa" w:w="100"/>
              <w:right w:type="dxa" w:w="120"/>
            </w:tcMar>
            <w:vAlign w:val="center"/>
          </w:tcPr>
          <w:p>
            <w:r/>
            <w:r>
              <w:rPr>
                <w:rFonts w:ascii="Calibri" w:hAnsi="Calibri"/>
                <w:b w:val="0"/>
                <w:sz w:val="20"/>
              </w:rPr>
              <w:t>To be proven through the roadmap in Section 8 — this is the commercial and technical bet the business is making. Not claimed: that the general adaptive-machine concept itself is novel (see Section 3).</w:t>
            </w:r>
          </w:p>
        </w:tc>
      </w:tr>
    </w:tbl>
    <w:p>
      <w:pPr>
        <w:spacing w:after="300" w:before="80"/>
      </w:pPr>
      <w:r>
        <w:rPr>
          <w:rFonts w:ascii="Calibri" w:cs="Calibri" w:eastAsia="Calibri" w:hAnsi="Calibri"/>
          <w:i/>
          <w:iCs/>
          <w:color w:val="5B5B5B"/>
          <w:sz w:val="18"/>
          <w:szCs w:val="18"/>
        </w:rPr>
        <w:t>Sources: BOLA product documentation and 2026 price list (bola.co.uk); ProBatter PX3 product page (probatter.com); PCB TrueMan3 deployment coverage, July 2026 (propakistani.pk); Fulltrack AI validation studies (tandfonline.com, sagepub.com); Pongbot PACE S Pro coverage (the-gadgeteer.com); US patents US20230123704A1 and US8419560. Full notes: docs/research/competitive-landscape.md.</w:t>
      </w:r>
    </w:p>
    <w:p>
      <w:pPr>
        <w:pStyle w:val="Heading2"/>
        <w:spacing w:after="150" w:before="300"/>
      </w:pPr>
      <w:r>
        <w:rPr>
          <w:rFonts w:ascii="Calibri" w:cs="Calibri" w:eastAsia="Calibri" w:hAnsi="Calibri"/>
          <w:b/>
          <w:bCs/>
          <w:color w:val="1F3B57"/>
          <w:sz w:val="24"/>
          <w:szCs w:val="24"/>
        </w:rPr>
        <w:t xml:space="preserve">3.2 Why competitors cannot easily replicate this</w:t>
      </w:r>
    </w:p>
    <w:p>
      <w:pPr>
        <w:pStyle w:val="ListParagraph"/>
        <w:numPr>
          <w:ilvl w:val="0"/>
          <w:numId w:val="2"/>
        </w:numPr>
        <w:spacing w:after="90"/>
      </w:pPr>
      <w:r>
        <w:rPr>
          <w:rFonts w:ascii="Calibri" w:cs="Calibri" w:eastAsia="Calibri" w:hAnsi="Calibri"/>
          <w:color w:val="222222"/>
          <w:sz w:val="22"/>
          <w:szCs w:val="22"/>
        </w:rPr>
        <w:t>The differentiation is the closed feedback loop for cricket specifically — sensing, scoring, and deciding in the seconds between deliveries — not the mechanical throw itself, which is a solved, licensable problem. Tennis products (Pongbot's PACE S Pro, “The Partner”) already prove this general loop works commercially, which is a point in favour of the underlying training-science premise, not against it — but no cricket bowling machine found in this research (BOLA, ProBatter, or BOLA's own TrueMan3, deployed by Pakistan's PCB in July 2026) does this. Replicating the cricket-specific version requires the computer-vision and adaptation software stack together with fast-actuation hardware tuned to cricket's parameter space (line, length, seam, swing, spin), not either alone.</w:t>
      </w:r>
    </w:p>
    <w:p>
      <w:pPr>
        <w:pStyle w:val="ListParagraph"/>
        <w:numPr>
          <w:ilvl w:val="0"/>
          <w:numId w:val="2"/>
        </w:numPr>
        <w:spacing w:after="90"/>
      </w:pPr>
      <w:r>
        <w:rPr>
          <w:rFonts w:ascii="Calibri" w:cs="Calibri" w:eastAsia="Calibri" w:hAnsi="Calibri"/>
          <w:color w:val="222222"/>
          <w:sz w:val="22"/>
          <w:szCs w:val="22"/>
        </w:rPr>
        <w:t xml:space="preserve">Per-player profiles that persist and improve across sessions create a data advantage that compounds over time and is not something a competitor can copy by observing the hardware.</w:t>
      </w:r>
    </w:p>
    <w:p>
      <w:pPr>
        <w:spacing w:after="160" w:line="276"/>
      </w:pPr>
      <w:r>
        <w:rPr>
          <w:rFonts w:ascii="Calibri" w:cs="Calibri" w:eastAsia="Calibri" w:hAnsi="Calibri"/>
          <w:i/>
          <w:iCs/>
          <w:color w:val="C0392B"/>
          <w:sz w:val="22"/>
          <w:szCs w:val="22"/>
        </w:rPr>
        <w:t>[Add any protectable IP here once a patent attorney has been consulted — do this before finalising this section. Known from research so far, not legal advice: the general “ball machine adapts to player performance” mechanism has existing US patents in tennis (US20230123704A1, US8419560), so any patent strategy here needs a freedom-to-operate opinion, not just a cricket-specific filing. Also note: this project's code repository is public and already indexed by search engines, which has real implications for patent filing timing in absolute-novelty jurisdictions (UK/Europe have no grace period for an inventor's own prior public disclosure, unlike the US's 1-year grace period) — get this checked urgently if patent protection is part of the IP strategy, before more is made public.]</w:t>
      </w:r>
    </w:p>
    <w:p>
      <w:pPr>
        <w:pStyle w:val="Heading1"/>
        <w:pBdr>
          <w:bottom w:val="single" w:color="1F3B57" w:sz="6" w:space="4"/>
        </w:pBdr>
        <w:spacing w:after="200" w:before="400"/>
      </w:pPr>
      <w:r>
        <w:rPr>
          <w:rFonts w:ascii="Calibri" w:cs="Calibri" w:eastAsia="Calibri" w:hAnsi="Calibri"/>
          <w:b/>
          <w:bCs/>
          <w:color w:val="1F3B57"/>
          <w:sz w:val="30"/>
          <w:szCs w:val="30"/>
        </w:rPr>
        <w:t xml:space="preserve">4. Market &amp; Competitor Analysis</w:t>
      </w:r>
    </w:p>
    <w:p>
      <w:pPr>
        <w:pStyle w:val="Heading2"/>
        <w:spacing w:after="150" w:before="300"/>
      </w:pPr>
      <w:r>
        <w:rPr>
          <w:rFonts w:ascii="Calibri" w:cs="Calibri" w:eastAsia="Calibri" w:hAnsi="Calibri"/>
          <w:b/>
          <w:bCs/>
          <w:color w:val="1F3B57"/>
          <w:sz w:val="24"/>
          <w:szCs w:val="24"/>
        </w:rPr>
        <w:t xml:space="preserve">4.1 Target customers</w:t>
      </w:r>
    </w:p>
    <w:p>
      <w:pPr>
        <w:pStyle w:val="ListParagraph"/>
        <w:numPr>
          <w:ilvl w:val="0"/>
          <w:numId w:val="2"/>
        </w:numPr>
        <w:spacing w:after="90"/>
      </w:pPr>
      <w:r>
        <w:rPr>
          <w:rFonts w:ascii="Calibri" w:cs="Calibri" w:eastAsia="Calibri" w:hAnsi="Calibri"/>
          <w:color w:val="222222"/>
          <w:sz w:val="22"/>
          <w:szCs w:val="22"/>
        </w:rPr>
        <w:t xml:space="preserve">Cricket academies and high-performance training centres currently investing in premium programmable machines (BOLA Professional-class pricing).</w:t>
      </w:r>
    </w:p>
    <w:p>
      <w:pPr>
        <w:pStyle w:val="ListParagraph"/>
        <w:numPr>
          <w:ilvl w:val="0"/>
          <w:numId w:val="2"/>
        </w:numPr>
        <w:spacing w:after="90"/>
      </w:pPr>
      <w:r>
        <w:rPr>
          <w:rFonts w:ascii="Calibri" w:cs="Calibri" w:eastAsia="Calibri" w:hAnsi="Calibri"/>
          <w:color w:val="222222"/>
          <w:sz w:val="22"/>
          <w:szCs w:val="22"/>
        </w:rPr>
        <w:t xml:space="preserve">Professional and semi-professional club training facilities.</w:t>
      </w:r>
    </w:p>
    <w:p>
      <w:pPr>
        <w:pStyle w:val="ListParagraph"/>
        <w:numPr>
          <w:ilvl w:val="0"/>
          <w:numId w:val="2"/>
        </w:numPr>
        <w:spacing w:after="90"/>
      </w:pPr>
      <w:r>
        <w:rPr>
          <w:rFonts w:ascii="Calibri" w:cs="Calibri" w:eastAsia="Calibri" w:hAnsi="Calibri"/>
          <w:color w:val="222222"/>
          <w:sz w:val="22"/>
          <w:szCs w:val="22"/>
        </w:rPr>
        <w:t xml:space="preserve">[Add: national cricket boards, university programmes, or franchise academies you have identified or spoken with]</w:t>
      </w:r>
    </w:p>
    <w:p>
      <w:pPr>
        <w:pStyle w:val="Heading2"/>
        <w:spacing w:after="150" w:before="300"/>
      </w:pPr>
      <w:r>
        <w:rPr>
          <w:rFonts w:ascii="Calibri" w:cs="Calibri" w:eastAsia="Calibri" w:hAnsi="Calibri"/>
          <w:b/>
          <w:bCs/>
          <w:color w:val="1F3B57"/>
          <w:sz w:val="24"/>
          <w:szCs w:val="24"/>
        </w:rPr>
        <w:t xml:space="preserve">4.2 Market size and evidence</w:t>
      </w:r>
    </w:p>
    <w:p>
      <w:pPr>
        <w:spacing w:after="160" w:line="276"/>
      </w:pPr>
      <w:r>
        <w:rPr>
          <w:rFonts w:ascii="Calibri" w:cs="Calibri" w:eastAsia="Calibri" w:hAnsi="Calibri"/>
          <w:i/>
          <w:iCs/>
          <w:color w:val="C0392B"/>
          <w:sz w:val="22"/>
          <w:szCs w:val="22"/>
        </w:rPr>
        <w:t xml:space="preserve">[Add sourced market sizing: number of registered cricket players/academies in target markets (UK, India, Australia, etc.), addressable spend on training technology, and citations. Endorsing bodies specifically look for evidence-based figures, not estimates without a source.]</w:t>
      </w:r>
    </w:p>
    <w:p>
      <w:pPr>
        <w:spacing w:after="160" w:line="276"/>
      </w:pPr>
      <w:r>
        <w:rPr>
          <w:rFonts w:ascii="Calibri" w:cs="Calibri" w:eastAsia="Calibri" w:hAnsi="Calibri"/>
          <w:i/>
          <w:iCs/>
          <w:color w:val="C0392B"/>
          <w:sz w:val="22"/>
          <w:szCs w:val="22"/>
        </w:rPr>
        <w:t xml:space="preserve">[Add evidence of demand: conversations with coaches or academies, letters of interest, waiting-list sign-ups, or a pilot commitment]</w:t>
      </w:r>
    </w:p>
    <w:p>
      <w:pPr>
        <w:pStyle w:val="Heading2"/>
        <w:spacing w:after="150" w:before="300"/>
      </w:pPr>
      <w:r>
        <w:rPr>
          <w:rFonts w:ascii="Calibri" w:cs="Calibri" w:eastAsia="Calibri" w:hAnsi="Calibri"/>
          <w:b/>
          <w:bCs/>
          <w:color w:val="1F3B57"/>
          <w:sz w:val="24"/>
          <w:szCs w:val="24"/>
        </w:rPr>
        <w:t xml:space="preserve">4.3 Competitive positioning</w:t>
      </w:r>
    </w:p>
    <w:p>
      <w:pPr>
        <w:spacing w:after="160" w:line="276"/>
      </w:pPr>
      <w:r>
        <w:rPr>
          <w:rFonts w:ascii="Calibri" w:cs="Calibri" w:eastAsia="Calibri" w:hAnsi="Calibri"/>
          <w:color w:val="222222"/>
          <w:sz w:val="22"/>
          <w:szCs w:val="22"/>
        </w:rPr>
        <w:t>The competitor table in Section 3.1 doubles as the market-positioning evidence: the business sits above manual/random-mode machines (BOLA Professional) and above pre-programmed/visual-realism simulators (ProBatter PX3, BOLA TrueMan3) on responsiveness to the actual player, at a price point to be validated through Phase 1 (Section 8). It sits alongside — not above — the tennis precedent on the core mechanism; the claimed advantage there is being first to bring it to cricket, not inventing it outright.</w:t>
      </w:r>
    </w:p>
    <w:p>
      <w:pPr>
        <w:pStyle w:val="Heading1"/>
        <w:pBdr>
          <w:bottom w:val="single" w:color="1F3B57" w:sz="6" w:space="4"/>
        </w:pBdr>
        <w:spacing w:after="200" w:before="400"/>
      </w:pPr>
      <w:r>
        <w:rPr>
          <w:rFonts w:ascii="Calibri" w:cs="Calibri" w:eastAsia="Calibri" w:hAnsi="Calibri"/>
          <w:b/>
          <w:bCs/>
          <w:color w:val="1F3B57"/>
          <w:sz w:val="30"/>
          <w:szCs w:val="30"/>
        </w:rPr>
        <w:t xml:space="preserve">5. Business Model &amp; Operations (Viability)</w:t>
      </w:r>
    </w:p>
    <w:p>
      <w:pPr>
        <w:pStyle w:val="Heading2"/>
        <w:spacing w:after="150" w:before="300"/>
      </w:pPr>
      <w:r>
        <w:rPr>
          <w:rFonts w:ascii="Calibri" w:cs="Calibri" w:eastAsia="Calibri" w:hAnsi="Calibri"/>
          <w:b/>
          <w:bCs/>
          <w:color w:val="1F3B57"/>
          <w:sz w:val="24"/>
          <w:szCs w:val="24"/>
        </w:rPr>
        <w:t xml:space="preserve">5.1 Revenue model</w:t>
      </w:r>
    </w:p>
    <w:p>
      <w:pPr>
        <w:pStyle w:val="ListParagraph"/>
        <w:numPr>
          <w:ilvl w:val="0"/>
          <w:numId w:val="2"/>
        </w:numPr>
        <w:spacing w:after="90"/>
      </w:pPr>
      <w:r>
        <w:rPr>
          <w:rFonts w:ascii="Calibri" w:cs="Calibri" w:eastAsia="Calibri" w:hAnsi="Calibri"/>
          <w:color w:val="222222"/>
          <w:sz w:val="22"/>
          <w:szCs w:val="22"/>
        </w:rPr>
        <w:t xml:space="preserve">Hardware sales or lease of the adaptive bowling machine to academies and training facilities.</w:t>
      </w:r>
    </w:p>
    <w:p>
      <w:pPr>
        <w:pStyle w:val="ListParagraph"/>
        <w:numPr>
          <w:ilvl w:val="0"/>
          <w:numId w:val="2"/>
        </w:numPr>
        <w:spacing w:after="90"/>
      </w:pPr>
      <w:r>
        <w:rPr>
          <w:rFonts w:ascii="Calibri" w:cs="Calibri" w:eastAsia="Calibri" w:hAnsi="Calibri"/>
          <w:color w:val="222222"/>
          <w:sz w:val="22"/>
          <w:szCs w:val="22"/>
        </w:rPr>
        <w:t xml:space="preserve">Software/data subscription for the coach dashboard, player-profile history, and cloud-based model improvements.</w:t>
      </w:r>
    </w:p>
    <w:p>
      <w:pPr>
        <w:pStyle w:val="ListParagraph"/>
        <w:numPr>
          <w:ilvl w:val="0"/>
          <w:numId w:val="2"/>
        </w:numPr>
        <w:spacing w:after="90"/>
      </w:pPr>
      <w:r>
        <w:rPr>
          <w:rFonts w:ascii="Calibri" w:cs="Calibri" w:eastAsia="Calibri" w:hAnsi="Calibri"/>
          <w:color w:val="222222"/>
          <w:sz w:val="22"/>
          <w:szCs w:val="22"/>
        </w:rPr>
        <w:t xml:space="preserve">[Add: any planned service revenue — installation, maintenance contracts, or coaching-partner licensing]</w:t>
      </w:r>
    </w:p>
    <w:p>
      <w:pPr>
        <w:pStyle w:val="Heading2"/>
        <w:spacing w:after="150" w:before="300"/>
      </w:pPr>
      <w:r>
        <w:rPr>
          <w:rFonts w:ascii="Calibri" w:cs="Calibri" w:eastAsia="Calibri" w:hAnsi="Calibri"/>
          <w:b/>
          <w:bCs/>
          <w:color w:val="1F3B57"/>
          <w:sz w:val="24"/>
          <w:szCs w:val="24"/>
        </w:rPr>
        <w:t xml:space="preserve">5.2 Pricing</w:t>
      </w:r>
    </w:p>
    <w:p>
      <w:pPr>
        <w:spacing w:after="160" w:line="276"/>
      </w:pPr>
      <w:r>
        <w:rPr>
          <w:rFonts w:ascii="Calibri" w:cs="Calibri" w:eastAsia="Calibri" w:hAnsi="Calibri"/>
          <w:i/>
          <w:iCs/>
          <w:color w:val="C0392B"/>
          <w:sz w:val="22"/>
          <w:szCs w:val="22"/>
        </w:rPr>
        <w:t xml:space="preserve">[Add proposed pricing for hardware and/or subscription, benchmarked against BOLA Professional and ProBatter PX3 list prices where available]</w:t>
      </w:r>
    </w:p>
    <w:p>
      <w:pPr>
        <w:pStyle w:val="Heading2"/>
        <w:spacing w:after="150" w:before="300"/>
      </w:pPr>
      <w:r>
        <w:rPr>
          <w:rFonts w:ascii="Calibri" w:cs="Calibri" w:eastAsia="Calibri" w:hAnsi="Calibri"/>
          <w:b/>
          <w:bCs/>
          <w:color w:val="1F3B57"/>
          <w:sz w:val="24"/>
          <w:szCs w:val="24"/>
        </w:rPr>
        <w:t xml:space="preserve">5.3 Operations</w:t>
      </w:r>
    </w:p>
    <w:p>
      <w:pPr>
        <w:pStyle w:val="ListParagraph"/>
        <w:numPr>
          <w:ilvl w:val="0"/>
          <w:numId w:val="2"/>
        </w:numPr>
        <w:spacing w:after="90"/>
      </w:pPr>
      <w:r>
        <w:rPr>
          <w:rFonts w:ascii="Calibri" w:cs="Calibri" w:eastAsia="Calibri" w:hAnsi="Calibri"/>
          <w:color w:val="222222"/>
          <w:sz w:val="22"/>
          <w:szCs w:val="22"/>
        </w:rPr>
        <w:t xml:space="preserve">Development and assembly: [confirm UK-based development, or a UK design/assembly plus outsourced manufacturing model]</w:t>
      </w:r>
    </w:p>
    <w:p>
      <w:pPr>
        <w:pStyle w:val="ListParagraph"/>
        <w:numPr>
          <w:ilvl w:val="0"/>
          <w:numId w:val="2"/>
        </w:numPr>
        <w:spacing w:after="90"/>
      </w:pPr>
      <w:r>
        <w:rPr>
          <w:rFonts w:ascii="Calibri" w:cs="Calibri" w:eastAsia="Calibri" w:hAnsi="Calibri"/>
          <w:color w:val="222222"/>
          <w:sz w:val="22"/>
          <w:szCs w:val="22"/>
        </w:rPr>
        <w:t xml:space="preserve">Sales channel: direct to academies, and/or through existing bowling-machine distributors as a retrofit sensor/software kit.</w:t>
      </w:r>
    </w:p>
    <w:p>
      <w:pPr>
        <w:pStyle w:val="ListParagraph"/>
        <w:numPr>
          <w:ilvl w:val="0"/>
          <w:numId w:val="2"/>
        </w:numPr>
        <w:spacing w:after="90"/>
      </w:pPr>
      <w:r>
        <w:rPr>
          <w:rFonts w:ascii="Calibri" w:cs="Calibri" w:eastAsia="Calibri" w:hAnsi="Calibri"/>
          <w:color w:val="222222"/>
          <w:sz w:val="22"/>
          <w:szCs w:val="22"/>
        </w:rPr>
        <w:t xml:space="preserve">Support: remote software updates via cloud sync; on-site servicing for the mechanical delivery head.</w:t>
      </w:r>
    </w:p>
    <w:p>
      <w:pPr>
        <w:pStyle w:val="Heading2"/>
        <w:spacing w:after="150" w:before="300"/>
      </w:pPr>
      <w:r>
        <w:rPr>
          <w:rFonts w:ascii="Calibri" w:cs="Calibri" w:eastAsia="Calibri" w:hAnsi="Calibri"/>
          <w:b/>
          <w:bCs/>
          <w:color w:val="1F3B57"/>
          <w:sz w:val="24"/>
          <w:szCs w:val="24"/>
        </w:rPr>
        <w:t xml:space="preserve">5.4 Founder commercial and financial competence</w:t>
      </w:r>
    </w:p>
    <w:p>
      <w:pPr>
        <w:spacing w:after="160" w:line="276"/>
      </w:pPr>
      <w:r>
        <w:rPr>
          <w:rFonts w:ascii="Calibri" w:cs="Calibri" w:eastAsia="Calibri" w:hAnsi="Calibri"/>
          <w:color w:val="222222"/>
          <w:sz w:val="22"/>
          <w:szCs w:val="22"/>
        </w:rPr>
        <w:t xml:space="preserve">Endorsing bodies weigh the founder's demonstrated commercial awareness as heavily as the numbers themselves. The financial forecasts in Section 6 should be defensible in an interview — able to explain every assumption and where it came from.</w:t>
      </w:r>
    </w:p>
    <w:p>
      <w:pPr>
        <w:pStyle w:val="Heading1"/>
        <w:pBdr>
          <w:bottom w:val="single" w:color="1F3B57" w:sz="6" w:space="4"/>
        </w:pBdr>
        <w:spacing w:after="200" w:before="400"/>
      </w:pPr>
      <w:r>
        <w:rPr>
          <w:rFonts w:ascii="Calibri" w:cs="Calibri" w:eastAsia="Calibri" w:hAnsi="Calibri"/>
          <w:b/>
          <w:bCs/>
          <w:color w:val="1F3B57"/>
          <w:sz w:val="30"/>
          <w:szCs w:val="30"/>
        </w:rPr>
        <w:t xml:space="preserve">6. Financial Forecasts (Viability)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shd w:fill="FFF7E0" w:val="clear"/>
            <w:tcMar>
              <w:top w:type="dxa" w:w="180"/>
              <w:left w:type="dxa" w:w="220"/>
              <w:bottom w:type="dxa" w:w="180"/>
              <w:right w:type="dxa" w:w="220"/>
            </w:tcMar>
          </w:tcPr>
          <w:p>
            <w:pPr>
              <w:spacing w:after="100"/>
            </w:pPr>
            <w:r>
              <w:rPr>
                <w:rFonts w:ascii="Calibri" w:cs="Calibri" w:eastAsia="Calibri" w:hAnsi="Calibri"/>
                <w:b/>
                <w:bCs/>
                <w:color w:val="8A6D00"/>
                <w:sz w:val="21"/>
                <w:szCs w:val="21"/>
              </w:rPr>
              <w:t xml:space="preserve">Illustrative only — replace before submission</w:t>
            </w:r>
          </w:p>
          <w:p>
            <w:pPr>
              <w:spacing w:after="60"/>
            </w:pPr>
            <w:r>
              <w:rPr>
                <w:rFonts w:ascii="Calibri" w:cs="Calibri" w:eastAsia="Calibri" w:hAnsi="Calibri"/>
                <w:color w:val="3D3320"/>
                <w:sz w:val="20"/>
                <w:szCs w:val="20"/>
              </w:rPr>
              <w:t xml:space="preserve">The figures below are placeholder scaffolding to show the shape of a 3-year forecast. Endorsing bodies routinely refuse applications over unrealistic or unsupported projections — every number here must be replaced with one you can defend, built from real costed quotes, comparable pricing, and stated, evidenced assumptions.</w:t>
            </w:r>
          </w:p>
        </w:tc>
      </w:tr>
    </w:tbl>
    <w:p>
      <w:pPr>
        <w:pStyle w:val="Heading2"/>
        <w:spacing w:after="150" w:before="300"/>
      </w:pPr>
      <w:r>
        <w:rPr>
          <w:rFonts w:ascii="Calibri" w:cs="Calibri" w:eastAsia="Calibri" w:hAnsi="Calibri"/>
          <w:b/>
          <w:bCs/>
          <w:color w:val="1F3B57"/>
          <w:sz w:val="24"/>
          <w:szCs w:val="24"/>
        </w:rPr>
        <w:t xml:space="preserve">6.1 Start-up costs (illustrative)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Item</w:t>
            </w:r>
          </w:p>
        </w:tc>
        <w:tc>
          <w:tcPr>
            <w:tcW w:type="dxa" w:w="22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Illustrative cost</w:t>
            </w:r>
          </w:p>
        </w:tc>
        <w:tc>
          <w:tcPr>
            <w:tcW w:type="dxa" w:w="22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Notes</w:t>
            </w:r>
          </w:p>
        </w:tc>
      </w:tr>
      <w:tr>
        <w:tc>
          <w:tcPr>
            <w:tcW w:type="dxa" w:w="4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Mechanical platform (license/partner or build)</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Confirm build-vs-partner route from Phase 0</w:t>
            </w:r>
          </w:p>
        </w:tc>
      </w:tr>
      <w:tr>
        <w:tc>
          <w:tcPr>
            <w:tcW w:type="dxa" w:w="4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Sensor suite &amp; edge compute (per prototype unit)</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Cameras, radar, on-device compute</w:t>
            </w:r>
          </w:p>
        </w:tc>
      </w:tr>
      <w:tr>
        <w:tc>
          <w:tcPr>
            <w:tcW w:type="dxa" w:w="4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Software/ML development (Phase 1–2)</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Engineering time, in-house or contracted</w:t>
            </w:r>
          </w:p>
        </w:tc>
      </w:tr>
      <w:tr>
        <w:tc>
          <w:tcPr>
            <w:tcW w:type="dxa" w:w="4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Pilot deployment (2–4 units)</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Includes academy partnership costs</w:t>
            </w:r>
          </w:p>
        </w:tc>
      </w:tr>
      <w:tr>
        <w:tc>
          <w:tcPr>
            <w:tcW w:type="dxa" w:w="4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Legal, IP, and company formation</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UK company setup, any patent filings</w:t>
            </w:r>
          </w:p>
        </w:tc>
      </w:tr>
      <w:tr>
        <w:tc>
          <w:tcPr>
            <w:tcW w:type="dxa" w:w="4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Working capital / contingency</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Typically 3–6 months of run rate</w:t>
            </w:r>
          </w:p>
        </w:tc>
      </w:tr>
    </w:tbl>
    <w:p>
      <w:pPr>
        <w:pStyle w:val="Heading2"/>
        <w:spacing w:after="150" w:before="300"/>
      </w:pPr>
      <w:r>
        <w:rPr>
          <w:rFonts w:ascii="Calibri" w:cs="Calibri" w:eastAsia="Calibri" w:hAnsi="Calibri"/>
          <w:b/>
          <w:bCs/>
          <w:color w:val="1F3B57"/>
          <w:sz w:val="24"/>
          <w:szCs w:val="24"/>
        </w:rPr>
        <w:t xml:space="preserve">6.2 Three-year revenue and cost forecast (illustrative)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60"/>
      </w:tblGrid>
      <w:tr>
        <w:trPr>
          <w:tblHeader/>
        </w:trPr>
        <w:tc>
          <w:tcPr>
            <w:tcW w:type="dxa" w:w="22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
            </w:r>
          </w:p>
        </w:tc>
        <w:tc>
          <w:tcPr>
            <w:tcW w:type="dxa" w:w="22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Year 1</w:t>
            </w:r>
          </w:p>
        </w:tc>
        <w:tc>
          <w:tcPr>
            <w:tcW w:type="dxa" w:w="22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Year 2</w:t>
            </w:r>
          </w:p>
        </w:tc>
        <w:tc>
          <w:tcPr>
            <w:tcW w:type="dxa" w:w="246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Year 3</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Revenue</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46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r>
      <w:tr>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Cost of sales</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46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Operating costs</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46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r>
      <w:tr>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Net position</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46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r>
      <w:tr>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Units / subscriptions sold</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c>
          <w:tcPr>
            <w:tcW w:type="dxa" w:w="246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  ]</w:t>
            </w:r>
          </w:p>
        </w:tc>
      </w:tr>
    </w:tbl>
    <w:p>
      <w:pPr>
        <w:pStyle w:val="Heading2"/>
        <w:spacing w:after="150" w:before="300"/>
      </w:pPr>
      <w:r>
        <w:rPr>
          <w:rFonts w:ascii="Calibri" w:cs="Calibri" w:eastAsia="Calibri" w:hAnsi="Calibri"/>
          <w:b/>
          <w:bCs/>
          <w:color w:val="1F3B57"/>
          <w:sz w:val="24"/>
          <w:szCs w:val="24"/>
        </w:rPr>
        <w:t xml:space="preserve">6.3 Source of funds</w:t>
      </w:r>
    </w:p>
    <w:p>
      <w:pPr>
        <w:spacing w:after="160" w:line="276"/>
      </w:pPr>
      <w:r>
        <w:rPr>
          <w:rFonts w:ascii="Calibri" w:cs="Calibri" w:eastAsia="Calibri" w:hAnsi="Calibri"/>
          <w:i/>
          <w:iCs/>
          <w:color w:val="C0392B"/>
          <w:sz w:val="22"/>
          <w:szCs w:val="22"/>
        </w:rPr>
        <w:t xml:space="preserve">[State clearly how the business is funded: personal savings (with evidenced source), investment already secured, or funding being sought — endorsing bodies and the Home Office both check that funds are genuine and accessible, not just promised]</w:t>
      </w:r>
    </w:p>
    <w:p>
      <w:pPr>
        <w:pStyle w:val="Heading1"/>
        <w:pBdr>
          <w:bottom w:val="single" w:color="1F3B57" w:sz="6" w:space="4"/>
        </w:pBdr>
        <w:spacing w:after="200" w:before="400"/>
      </w:pPr>
      <w:r>
        <w:rPr>
          <w:rFonts w:ascii="Calibri" w:cs="Calibri" w:eastAsia="Calibri" w:hAnsi="Calibri"/>
          <w:b/>
          <w:bCs/>
          <w:color w:val="1F3B57"/>
          <w:sz w:val="30"/>
          <w:szCs w:val="30"/>
        </w:rPr>
        <w:t xml:space="preserve">7. Growth &amp; Job Creation Plan (Scalability)</w:t>
      </w:r>
    </w:p>
    <w:p>
      <w:pPr>
        <w:spacing w:after="160" w:line="276"/>
      </w:pPr>
      <w:r>
        <w:rPr>
          <w:rFonts w:ascii="Calibri" w:cs="Calibri" w:eastAsia="Calibri" w:hAnsi="Calibri"/>
          <w:color w:val="222222"/>
          <w:sz w:val="22"/>
          <w:szCs w:val="22"/>
        </w:rPr>
        <w:t xml:space="preserve">The Innovator Founder route requires evidence of planning for growth, including job creation and expansion into national and international markets — and, for settlement later on, the business will ideally be on a path to at least 5 full-time jobs paying at or above the relevant salary threshold, or at least 10 full-time jobs for settled workers, sustained for a minimum of 12 months.</w:t>
      </w:r>
    </w:p>
    <w:p>
      <w:pPr>
        <w:pStyle w:val="Heading2"/>
        <w:spacing w:after="150" w:before="300"/>
      </w:pPr>
      <w:r>
        <w:rPr>
          <w:rFonts w:ascii="Calibri" w:cs="Calibri" w:eastAsia="Calibri" w:hAnsi="Calibri"/>
          <w:b/>
          <w:bCs/>
          <w:color w:val="1F3B57"/>
          <w:sz w:val="24"/>
          <w:szCs w:val="24"/>
        </w:rPr>
        <w:t xml:space="preserve">7.1 UK job creation plan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60"/>
      </w:tblGrid>
      <w:tr>
        <w:trPr>
          <w:tblHeader/>
        </w:trPr>
        <w:tc>
          <w:tcPr>
            <w:tcW w:type="dxa" w:w="26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Role</w:t>
            </w:r>
          </w:p>
        </w:tc>
        <w:tc>
          <w:tcPr>
            <w:tcW w:type="dxa" w:w="21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Indicative hire timing</w:t>
            </w:r>
          </w:p>
        </w:tc>
        <w:tc>
          <w:tcPr>
            <w:tcW w:type="dxa" w:w="436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Why the role is needed</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Computer vision / ML engineer</w:t>
            </w:r>
          </w:p>
        </w:tc>
        <w:tc>
          <w:tcPr>
            <w:tcW w:type="dxa" w:w="21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Year 1</w:t>
            </w:r>
          </w:p>
        </w:tc>
        <w:tc>
          <w:tcPr>
            <w:tcW w:type="dxa" w:w="436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Builds and maintains the perception and adaptation models</w:t>
            </w:r>
          </w:p>
        </w:tc>
      </w:tr>
      <w:tr>
        <w:tc>
          <w:tcPr>
            <w:tcW w:type="dxa" w:w="2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Embedded / robotics engineer</w:t>
            </w:r>
          </w:p>
        </w:tc>
        <w:tc>
          <w:tcPr>
            <w:tcW w:type="dxa" w:w="21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Year 1</w:t>
            </w:r>
          </w:p>
        </w:tc>
        <w:tc>
          <w:tcPr>
            <w:tcW w:type="dxa" w:w="436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Actuator control and hardware integration</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Mechanical engineer</w:t>
            </w:r>
          </w:p>
        </w:tc>
        <w:tc>
          <w:tcPr>
            <w:tcW w:type="dxa" w:w="21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Year 1</w:t>
            </w:r>
          </w:p>
        </w:tc>
        <w:tc>
          <w:tcPr>
            <w:tcW w:type="dxa" w:w="436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Delivery-head engineering and manufacturing liaison</w:t>
            </w:r>
          </w:p>
        </w:tc>
      </w:tr>
      <w:tr>
        <w:tc>
          <w:tcPr>
            <w:tcW w:type="dxa" w:w="2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App / software developer</w:t>
            </w:r>
          </w:p>
        </w:tc>
        <w:tc>
          <w:tcPr>
            <w:tcW w:type="dxa" w:w="21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Year 2</w:t>
            </w:r>
          </w:p>
        </w:tc>
        <w:tc>
          <w:tcPr>
            <w:tcW w:type="dxa" w:w="436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Coach dashboard and cloud profile platform</w:t>
            </w:r>
          </w:p>
        </w:tc>
      </w:tr>
      <w:tr>
        <w:tc>
          <w:tcPr>
            <w:tcW w:type="dxa" w:w="26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Sales &amp; academy partnerships lead</w:t>
            </w:r>
          </w:p>
        </w:tc>
        <w:tc>
          <w:tcPr>
            <w:tcW w:type="dxa" w:w="21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Year 2</w:t>
            </w:r>
          </w:p>
        </w:tc>
        <w:tc>
          <w:tcPr>
            <w:tcW w:type="dxa" w:w="436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UK and international customer acquisition</w:t>
            </w:r>
          </w:p>
        </w:tc>
      </w:tr>
      <w:tr>
        <w:tc>
          <w:tcPr>
            <w:tcW w:type="dxa" w:w="26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Field service / support engineer</w:t>
            </w:r>
          </w:p>
        </w:tc>
        <w:tc>
          <w:tcPr>
            <w:tcW w:type="dxa" w:w="21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Year 2–3</w:t>
            </w:r>
          </w:p>
        </w:tc>
        <w:tc>
          <w:tcPr>
            <w:tcW w:type="dxa" w:w="436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Installation and maintenance as the unit base grows</w:t>
            </w:r>
          </w:p>
        </w:tc>
      </w:tr>
    </w:tbl>
    <w:p>
      <w:pPr>
        <w:pStyle w:val="Heading2"/>
        <w:spacing w:after="150" w:before="300"/>
      </w:pPr>
      <w:r>
        <w:rPr>
          <w:rFonts w:ascii="Calibri" w:cs="Calibri" w:eastAsia="Calibri" w:hAnsi="Calibri"/>
          <w:b/>
          <w:bCs/>
          <w:color w:val="1F3B57"/>
          <w:sz w:val="24"/>
          <w:szCs w:val="24"/>
        </w:rPr>
        <w:t xml:space="preserve">7.2 National and international expansion</w:t>
      </w:r>
    </w:p>
    <w:p>
      <w:pPr>
        <w:pStyle w:val="ListParagraph"/>
        <w:numPr>
          <w:ilvl w:val="0"/>
          <w:numId w:val="2"/>
        </w:numPr>
        <w:spacing w:after="90"/>
      </w:pPr>
      <w:r>
        <w:rPr>
          <w:rFonts w:ascii="Calibri" w:cs="Calibri" w:eastAsia="Calibri" w:hAnsi="Calibri"/>
          <w:color w:val="222222"/>
          <w:sz w:val="22"/>
          <w:szCs w:val="22"/>
        </w:rPr>
        <w:t xml:space="preserve">UK: academy and club pilots (Phase 3) expanding to a wider domestic sales base.</w:t>
      </w:r>
    </w:p>
    <w:p>
      <w:pPr>
        <w:pStyle w:val="ListParagraph"/>
        <w:numPr>
          <w:ilvl w:val="0"/>
          <w:numId w:val="2"/>
        </w:numPr>
        <w:spacing w:after="90"/>
      </w:pPr>
      <w:r>
        <w:rPr>
          <w:rFonts w:ascii="Calibri" w:cs="Calibri" w:eastAsia="Calibri" w:hAnsi="Calibri"/>
          <w:color w:val="222222"/>
          <w:sz w:val="22"/>
          <w:szCs w:val="22"/>
        </w:rPr>
        <w:t xml:space="preserve">International: cricket-playing markets with strong academy infrastructure — [name target countries, e.g. India, Australia, South Africa] — via distributor partnerships or direct sales.</w:t>
      </w:r>
    </w:p>
    <w:p>
      <w:pPr>
        <w:pStyle w:val="ListParagraph"/>
        <w:numPr>
          <w:ilvl w:val="0"/>
          <w:numId w:val="2"/>
        </w:numPr>
        <w:spacing w:after="90"/>
      </w:pPr>
      <w:r>
        <w:rPr>
          <w:rFonts w:ascii="Calibri" w:cs="Calibri" w:eastAsia="Calibri" w:hAnsi="Calibri"/>
          <w:color w:val="222222"/>
          <w:sz w:val="22"/>
          <w:szCs w:val="22"/>
        </w:rPr>
        <w:t xml:space="preserve">Product-line growth: the same adaptive-sensing approach could extend to other racket/bat sports over time, widening the addressable market.</w:t>
      </w:r>
    </w:p>
    <w:p>
      <w:pPr>
        <w:pStyle w:val="Heading1"/>
        <w:pBdr>
          <w:bottom w:val="single" w:color="1F3B57" w:sz="6" w:space="4"/>
        </w:pBdr>
        <w:spacing w:after="200" w:before="400"/>
      </w:pPr>
      <w:r>
        <w:rPr>
          <w:rFonts w:ascii="Calibri" w:cs="Calibri" w:eastAsia="Calibri" w:hAnsi="Calibri"/>
          <w:b/>
          <w:bCs/>
          <w:color w:val="1F3B57"/>
          <w:sz w:val="30"/>
          <w:szCs w:val="30"/>
        </w:rPr>
        <w:t xml:space="preserve">8. Development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300"/>
        <w:gridCol w:w="3200"/>
      </w:tblGrid>
      <w:tr>
        <w:trPr>
          <w:tblHeader/>
        </w:trPr>
        <w:tc>
          <w:tcPr>
            <w:tcW w:type="dxa" w:w="15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Phase</w:t>
            </w:r>
          </w:p>
        </w:tc>
        <w:tc>
          <w:tcPr>
            <w:tcW w:type="dxa" w:w="20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Focus</w:t>
            </w:r>
          </w:p>
        </w:tc>
        <w:tc>
          <w:tcPr>
            <w:tcW w:type="dxa" w:w="33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Key activity</w:t>
            </w:r>
          </w:p>
        </w:tc>
        <w:tc>
          <w:tcPr>
            <w:tcW w:type="dxa" w:w="32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Exit criteria</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0</w:t>
            </w:r>
          </w:p>
        </w:tc>
        <w:tc>
          <w:tcPr>
            <w:tcW w:type="dxa" w:w="20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Feasibility</w:t>
            </w:r>
          </w:p>
        </w:tc>
        <w:tc>
          <w:tcPr>
            <w:tcW w:type="dxa" w:w="3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Confirm mechanical base (license/partner vs. build); define the style taxonomy with a coaching advisor.</w:t>
            </w:r>
          </w:p>
        </w:tc>
        <w:tc>
          <w:tcPr>
            <w:tcW w:type="dxa" w:w="3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Go/no-go decision with a chosen mechanical platform.</w:t>
            </w:r>
          </w:p>
        </w:tc>
      </w:tr>
      <w:tr>
        <w:tc>
          <w:tcPr>
            <w:tcW w:type="dxa" w:w="15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1</w:t>
            </w:r>
          </w:p>
        </w:tc>
        <w:tc>
          <w:tcPr>
            <w:tcW w:type="dxa" w:w="20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Proof of concept</w:t>
            </w:r>
          </w:p>
        </w:tc>
        <w:tc>
          <w:tcPr>
            <w:tcW w:type="dxa" w:w="33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Drive an existing programmable machine's control interface from software; basic CV pipeline for shot-outcome classification.</w:t>
            </w:r>
          </w:p>
        </w:tc>
        <w:tc>
          <w:tcPr>
            <w:tcW w:type="dxa" w:w="3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Rule-based engine triggers a correct style switch in a live net session.</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2</w:t>
            </w:r>
          </w:p>
        </w:tc>
        <w:tc>
          <w:tcPr>
            <w:tcW w:type="dxa" w:w="20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MVP prototype</w:t>
            </w:r>
          </w:p>
        </w:tc>
        <w:tc>
          <w:tcPr>
            <w:tcW w:type="dxa" w:w="3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Full sensor suite and edge compute on one machine; real-time mastery scoring per style.</w:t>
            </w:r>
          </w:p>
        </w:tc>
        <w:tc>
          <w:tcPr>
            <w:tcW w:type="dxa" w:w="3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A working prototype used in supervised sessions with real batters.</w:t>
            </w:r>
          </w:p>
        </w:tc>
      </w:tr>
      <w:tr>
        <w:tc>
          <w:tcPr>
            <w:tcW w:type="dxa" w:w="15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3</w:t>
            </w:r>
          </w:p>
        </w:tc>
        <w:tc>
          <w:tcPr>
            <w:tcW w:type="dxa" w:w="20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Pilot testing</w:t>
            </w:r>
          </w:p>
        </w:tc>
        <w:tc>
          <w:tcPr>
            <w:tcW w:type="dxa" w:w="33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Deploy 2–4 units at partner academies; collect data; gather coach and player feedback.</w:t>
            </w:r>
          </w:p>
        </w:tc>
        <w:tc>
          <w:tcPr>
            <w:tcW w:type="dxa" w:w="3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Validated accuracy of style detection against coach judgement.</w:t>
            </w:r>
          </w:p>
        </w:tc>
      </w:tr>
      <w:tr>
        <w:tc>
          <w:tcPr>
            <w:tcW w:type="dxa" w:w="15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4</w:t>
            </w:r>
          </w:p>
        </w:tc>
        <w:tc>
          <w:tcPr>
            <w:tcW w:type="dxa" w:w="20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Intelligent engine</w:t>
            </w:r>
          </w:p>
        </w:tc>
        <w:tc>
          <w:tcPr>
            <w:tcW w:type="dxa" w:w="3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Move from rule-based triggers to a learned (reinforcement-learning) policy; expand the style library.</w:t>
            </w:r>
          </w:p>
        </w:tc>
        <w:tc>
          <w:tcPr>
            <w:tcW w:type="dxa" w:w="32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Learned policy outperforms the rule-based baseline in pilot data.</w:t>
            </w:r>
          </w:p>
        </w:tc>
      </w:tr>
      <w:tr>
        <w:tc>
          <w:tcPr>
            <w:tcW w:type="dxa" w:w="15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5</w:t>
            </w:r>
          </w:p>
        </w:tc>
        <w:tc>
          <w:tcPr>
            <w:tcW w:type="dxa" w:w="20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Launch &amp; scale</w:t>
            </w:r>
          </w:p>
        </w:tc>
        <w:tc>
          <w:tcPr>
            <w:tcW w:type="dxa" w:w="33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Ruggedised hardware, coach dashboard, cloud profiles, first UK hires, international partnerships.</w:t>
            </w:r>
          </w:p>
        </w:tc>
        <w:tc>
          <w:tcPr>
            <w:tcW w:type="dxa" w:w="32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First commercial units shipped and supported; job-creation plan underway.</w:t>
            </w:r>
          </w:p>
        </w:tc>
      </w:tr>
    </w:tbl>
    <w:p>
      <w:pPr>
        <w:pStyle w:val="Heading1"/>
        <w:pBdr>
          <w:bottom w:val="single" w:color="1F3B57" w:sz="6" w:space="4"/>
        </w:pBdr>
        <w:spacing w:after="200" w:before="400"/>
      </w:pPr>
      <w:r>
        <w:rPr>
          <w:rFonts w:ascii="Calibri" w:cs="Calibri" w:eastAsia="Calibri" w:hAnsi="Calibri"/>
          <w:b/>
          <w:bCs/>
          <w:color w:val="1F3B57"/>
          <w:sz w:val="30"/>
          <w:szCs w:val="30"/>
        </w:rPr>
        <w:t xml:space="preserve">9. Risk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300"/>
      </w:tblGrid>
      <w:tr>
        <w:trPr>
          <w:tblHeader/>
        </w:trPr>
        <w:tc>
          <w:tcPr>
            <w:tcW w:type="dxa" w:w="24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Risk</w:t>
            </w:r>
          </w:p>
        </w:tc>
        <w:tc>
          <w:tcPr>
            <w:tcW w:type="dxa" w:w="43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Why it matters</w:t>
            </w:r>
          </w:p>
        </w:tc>
        <w:tc>
          <w:tcPr>
            <w:tcW w:type="dxa" w:w="3300"/>
            <w:shd w:fill="1F3B57" w:val="clear"/>
            <w:tcMar>
              <w:top w:type="dxa" w:w="100"/>
              <w:left w:type="dxa" w:w="120"/>
              <w:bottom w:type="dxa" w:w="100"/>
              <w:right w:type="dxa" w:w="120"/>
            </w:tcMar>
            <w:vAlign w:val="center"/>
          </w:tcPr>
          <w:p>
            <w:r>
              <w:rPr>
                <w:rFonts w:ascii="Calibri" w:cs="Calibri" w:eastAsia="Calibri" w:hAnsi="Calibri"/>
                <w:b/>
                <w:bCs/>
                <w:i w:val="false"/>
                <w:iCs w:val="false"/>
                <w:color w:val="FFFFFF"/>
                <w:sz w:val="20"/>
                <w:szCs w:val="20"/>
              </w:rPr>
              <w:t xml:space="preserve">Mitigation</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Switching latency</w:t>
            </w:r>
          </w:p>
        </w:tc>
        <w:tc>
          <w:tcPr>
            <w:tcW w:type="dxa" w:w="4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A style change must land within the existing ball-to-ball interval or sessions feel unnatural.</w:t>
            </w:r>
          </w:p>
        </w:tc>
        <w:tc>
          <w:tcPr>
            <w:tcW w:type="dxa" w:w="3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Hard latency budget set and tested from Phase 1.</w:t>
            </w:r>
          </w:p>
        </w:tc>
      </w:tr>
      <w:tr>
        <w:tc>
          <w:tcPr>
            <w:tcW w:type="dxa" w:w="24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CV accuracy in real nets</w:t>
            </w:r>
          </w:p>
        </w:tc>
        <w:tc>
          <w:tcPr>
            <w:tcW w:type="dxa" w:w="43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Lighting and background clutter can degrade tracking accuracy.</w:t>
            </w:r>
          </w:p>
        </w:tc>
        <w:tc>
          <w:tcPr>
            <w:tcW w:type="dxa" w:w="33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Train and validate on real net footage from Phase 1 onward.</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Mechanical complexity</w:t>
            </w:r>
          </w:p>
        </w:tc>
        <w:tc>
          <w:tcPr>
            <w:tcW w:type="dxa" w:w="4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Fast switching between styles is harder than scheduled or manual adjustment.</w:t>
            </w:r>
          </w:p>
        </w:tc>
        <w:tc>
          <w:tcPr>
            <w:tcW w:type="dxa" w:w="3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Start from a proven mechanical base rather than a from-scratch design.</w:t>
            </w:r>
          </w:p>
        </w:tc>
      </w:tr>
      <w:tr>
        <w:tc>
          <w:tcPr>
            <w:tcW w:type="dxa" w:w="24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Funding runway</w:t>
            </w:r>
          </w:p>
        </w:tc>
        <w:tc>
          <w:tcPr>
            <w:tcW w:type="dxa" w:w="43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Hardware development cycles are capital- and time-intensive.</w:t>
            </w:r>
          </w:p>
        </w:tc>
        <w:tc>
          <w:tcPr>
            <w:tcW w:type="dxa" w:w="3300"/>
            <w:shd w:fill="EEF2F5" w:val="clear"/>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Phased spending gated on each phase's exit criteria; conservative contingency in Section 6.1.</w:t>
            </w:r>
          </w:p>
        </w:tc>
      </w:tr>
      <w:tr>
        <w:tc>
          <w:tcPr>
            <w:tcW w:type="dxa" w:w="24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Market adoption</w:t>
            </w:r>
          </w:p>
        </w:tc>
        <w:tc>
          <w:tcPr>
            <w:tcW w:type="dxa" w:w="4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Academies have sunk cost in existing machines.</w:t>
            </w:r>
          </w:p>
        </w:tc>
        <w:tc>
          <w:tcPr>
            <w:tcW w:type="dxa" w:w="3300"/>
            <w:tcMar>
              <w:top w:type="dxa" w:w="100"/>
              <w:left w:type="dxa" w:w="120"/>
              <w:bottom w:type="dxa" w:w="100"/>
              <w:right w:type="dxa" w:w="120"/>
            </w:tcMar>
            <w:vAlign w:val="center"/>
          </w:tcPr>
          <w:p>
            <w:r>
              <w:rPr>
                <w:rFonts w:ascii="Calibri" w:cs="Calibri" w:eastAsia="Calibri" w:hAnsi="Calibri"/>
                <w:b w:val="false"/>
                <w:bCs w:val="false"/>
                <w:i w:val="false"/>
                <w:iCs w:val="false"/>
                <w:color w:val="222222"/>
                <w:sz w:val="20"/>
                <w:szCs w:val="20"/>
              </w:rPr>
              <w:t xml:space="preserve">Position early units as a retrofit sensor/software kit before a fully bespoke unit.</w:t>
            </w:r>
          </w:p>
        </w:tc>
      </w:tr>
    </w:tbl>
    <w:p>
      <w:pPr>
        <w:pStyle w:val="Heading1"/>
        <w:pBdr>
          <w:bottom w:val="single" w:color="1F3B57" w:sz="6" w:space="4"/>
        </w:pBdr>
        <w:spacing w:after="200" w:before="400"/>
      </w:pPr>
      <w:r>
        <w:rPr>
          <w:rFonts w:ascii="Calibri" w:cs="Calibri" w:eastAsia="Calibri" w:hAnsi="Calibri"/>
          <w:b/>
          <w:bCs/>
          <w:color w:val="1F3B57"/>
          <w:sz w:val="30"/>
          <w:szCs w:val="30"/>
        </w:rPr>
        <w:t xml:space="preserve">10. The Endorsement Process — What Else Is Needed</w:t>
      </w:r>
    </w:p>
    <w:p>
      <w:pPr>
        <w:spacing w:after="160" w:line="276"/>
      </w:pPr>
      <w:r>
        <w:rPr>
          <w:rFonts w:ascii="Calibri" w:cs="Calibri" w:eastAsia="Calibri" w:hAnsi="Calibri"/>
          <w:color w:val="222222"/>
          <w:sz w:val="22"/>
          <w:szCs w:val="22"/>
        </w:rPr>
        <w:t xml:space="preserve">This plan is one input into the endorsement application, not the whole of it. Based on current published guidance, the wider process typically includes:</w:t>
      </w:r>
    </w:p>
    <w:p>
      <w:pPr>
        <w:pStyle w:val="ListParagraph"/>
        <w:numPr>
          <w:ilvl w:val="0"/>
          <w:numId w:val="2"/>
        </w:numPr>
        <w:spacing w:after="90"/>
      </w:pPr>
      <w:r>
        <w:rPr>
          <w:rFonts w:ascii="Calibri" w:cs="Calibri" w:eastAsia="Calibri" w:hAnsi="Calibri"/>
          <w:color w:val="222222"/>
          <w:sz w:val="22"/>
          <w:szCs w:val="22"/>
        </w:rPr>
        <w:t xml:space="preserve">Selecting and applying to a Home Office–approved endorsing body for the Innovator Founder route, and paying its endorsement fee.</w:t>
      </w:r>
    </w:p>
    <w:p>
      <w:pPr>
        <w:pStyle w:val="ListParagraph"/>
        <w:numPr>
          <w:ilvl w:val="0"/>
          <w:numId w:val="2"/>
        </w:numPr>
        <w:spacing w:after="90"/>
      </w:pPr>
      <w:r>
        <w:rPr>
          <w:rFonts w:ascii="Calibri" w:cs="Calibri" w:eastAsia="Calibri" w:hAnsi="Calibri"/>
          <w:color w:val="222222"/>
          <w:sz w:val="22"/>
          <w:szCs w:val="22"/>
        </w:rPr>
        <w:t xml:space="preserve">A commercial review of the business plan and, in many cases, an interview or presentation where the endorsing body tests founder knowledge, market understanding, financial awareness, and genuine day-to-day involvement.</w:t>
      </w:r>
    </w:p>
    <w:p>
      <w:pPr>
        <w:pStyle w:val="ListParagraph"/>
        <w:numPr>
          <w:ilvl w:val="0"/>
          <w:numId w:val="2"/>
        </w:numPr>
        <w:spacing w:after="90"/>
      </w:pPr>
      <w:r>
        <w:rPr>
          <w:rFonts w:ascii="Calibri" w:cs="Calibri" w:eastAsia="Calibri" w:hAnsi="Calibri"/>
          <w:color w:val="222222"/>
          <w:sz w:val="22"/>
          <w:szCs w:val="22"/>
        </w:rPr>
        <w:t xml:space="preserve">Ongoing endorsement contact points after the visa is granted (commonly at least two check-in meetings) to confirm the business is progressing as planned.</w:t>
      </w:r>
    </w:p>
    <w:p>
      <w:pPr>
        <w:pStyle w:val="ListParagraph"/>
        <w:numPr>
          <w:ilvl w:val="0"/>
          <w:numId w:val="2"/>
        </w:numPr>
        <w:spacing w:after="90"/>
      </w:pPr>
      <w:r>
        <w:rPr>
          <w:rFonts w:ascii="Calibri" w:cs="Calibri" w:eastAsia="Calibri" w:hAnsi="Calibri"/>
          <w:color w:val="222222"/>
          <w:sz w:val="22"/>
          <w:szCs w:val="22"/>
        </w:rPr>
        <w:t xml:space="preserve">The visa application itself to UKVI, including proof of English language ability and identity documents, alongside the endorsement letter.</w:t>
      </w:r>
    </w:p>
    <w:p>
      <w:pPr>
        <w:spacing w:after="160" w:line="276"/>
      </w:pPr>
      <w:r>
        <w:rPr>
          <w:rFonts w:ascii="Calibri" w:cs="Calibri" w:eastAsia="Calibri" w:hAnsi="Calibri"/>
          <w:b/>
          <w:bCs/>
          <w:color w:val="1F3B57"/>
          <w:sz w:val="22"/>
          <w:szCs w:val="22"/>
        </w:rPr>
        <w:t xml:space="preserve">Get this checked: </w:t>
      </w:r>
      <w:r>
        <w:rPr>
          <w:rFonts w:ascii="Calibri" w:cs="Calibri" w:eastAsia="Calibri" w:hAnsi="Calibri"/>
          <w:color w:val="222222"/>
          <w:sz w:val="22"/>
          <w:szCs w:val="22"/>
        </w:rPr>
        <w:t xml:space="preserve">endorsing body criteria, fees, and process details change and vary by body — verify current requirements directly on gov.uk and with your chosen endorsing body, and have a regulated immigration adviser or solicitor review the final plan and application before you submit.</w:t>
      </w:r>
    </w:p>
    <w:p>
      <w:pPr>
        <w:pStyle w:val="Heading1"/>
        <w:pBdr>
          <w:bottom w:val="single" w:color="1F3B57" w:sz="6" w:space="4"/>
        </w:pBdr>
        <w:spacing w:after="200" w:before="400"/>
      </w:pPr>
      <w:r>
        <w:rPr>
          <w:rFonts w:ascii="Calibri" w:cs="Calibri" w:eastAsia="Calibri" w:hAnsi="Calibri"/>
          <w:b/>
          <w:bCs/>
          <w:color w:val="1F3B57"/>
          <w:sz w:val="30"/>
          <w:szCs w:val="30"/>
        </w:rPr>
        <w:t xml:space="preserve">11. Conclusion</w:t>
      </w:r>
    </w:p>
    <w:p>
      <w:pPr>
        <w:spacing w:after="160" w:line="276"/>
      </w:pPr>
      <w:r>
        <w:rPr>
          <w:rFonts w:ascii="Calibri" w:cs="Calibri" w:eastAsia="Calibri" w:hAnsi="Calibri"/>
          <w:color w:val="222222"/>
          <w:sz w:val="22"/>
          <w:szCs w:val="22"/>
        </w:rPr>
        <w:t xml:space="preserve">The mechanical problem of delivering a cricket ball at a chosen line, length and pace is already solved by existing machines. What none of them do is notice, in real time, that a specific batter has stopped being challenged, and act on it the way a good bowler or coach would. That closed loop between measured batter performance and the machine's next decision is the innovation, the roadmap in Section 8 is the path to proving it viable, and the job-creation and expansion plan in Section 7 is the path to scale — the three pillars the Innovator Founder route asks a founder to demonstrate.</w:t>
      </w:r>
    </w:p>
    <w:p>
      <w:pPr>
        <w:spacing w:after="160" w:line="276"/>
      </w:pPr>
      <w:r>
        <w:rPr>
          <w:rFonts w:ascii="Calibri" w:cs="Calibri" w:eastAsia="Calibri" w:hAnsi="Calibri"/>
          <w:b/>
          <w:bCs/>
          <w:color w:val="1F3B57"/>
          <w:sz w:val="22"/>
          <w:szCs w:val="22"/>
        </w:rPr>
        <w:t xml:space="preserve">Immediate next step: </w:t>
      </w:r>
      <w:r>
        <w:rPr>
          <w:rFonts w:ascii="Calibri" w:cs="Calibri" w:eastAsia="Calibri" w:hAnsi="Calibri"/>
          <w:color w:val="222222"/>
          <w:sz w:val="22"/>
          <w:szCs w:val="22"/>
        </w:rPr>
        <w:t xml:space="preserve">complete the placeholders in this document with real figures and your own background, then have it reviewed by a regulated UK immigration adviser before approaching an endorsing body.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B5B"/>
        <w:sz w:val="16"/>
        <w:szCs w:val="16"/>
      </w:rPr>
      <w:t xml:space="preserve">AI-Adaptive Bowling Machine — Innovator Founder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2026-08-25T17:02:48.035Z</dcterms:created>
  <dcterms:modified xsi:type="dcterms:W3CDTF">2026-08-25T17:02:48.056Z</dcterms:modified>
</cp:coreProperties>
</file>

<file path=docProps/custom.xml><?xml version="1.0" encoding="utf-8"?>
<Properties xmlns="http://schemas.openxmlformats.org/officeDocument/2006/custom-properties" xmlns:vt="http://schemas.openxmlformats.org/officeDocument/2006/docPropsVTypes"/>
</file>