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aps/>
          <w:color w:val="C0392B"/>
          <w:spacing w:val="10"/>
          <w:sz w:val="20"/>
          <w:szCs w:val="20"/>
        </w:rPr>
        <w:t xml:space="preserve">BUSINESS PLAN — INNOVATOR FOUNDER VISA ENDORSEMENT</w:t>
      </w:r>
    </w:p>
    <w:p>
      <w:pPr>
        <w:spacing w:after="200" w:before="200"/>
        <w:jc w:val="center"/>
      </w:pPr>
      <w:r>
        <w:rPr>
          <w:rFonts w:ascii="Calibri" w:cs="Calibri" w:eastAsia="Calibri" w:hAnsi="Calibri"/>
          <w:b/>
          <w:bCs/>
          <w:color w:val="1F3B57"/>
          <w:sz w:val="52"/>
          <w:szCs w:val="52"/>
        </w:rPr>
        <w:t xml:space="preserve">AI-Adaptive Bowling Machine</w:t>
      </w:r>
    </w:p>
    <w:p>
      <w:pPr>
        <w:spacing w:after="900"/>
        <w:jc w:val="center"/>
      </w:pPr>
      <w:r>
        <w:rPr>
          <w:rFonts w:ascii="Calibri" w:cs="Calibri" w:eastAsia="Calibri" w:hAnsi="Calibri"/>
          <w:i/>
          <w:iCs/>
          <w:color w:val="5B5B5B"/>
          <w:sz w:val="24"/>
          <w:szCs w:val="24"/>
        </w:rPr>
        <w:t xml:space="preserve">An adaptive cricket training system that reads a batter's skill in real time and changes bowling style the moment it is mastered</w:t>
      </w:r>
    </w:p>
    <w:p>
      <w:pPr>
        <w:spacing w:before="2600"/>
        <w:jc w:val="center"/>
      </w:pPr>
      <w:r>
        <w:rPr>
          <w:rFonts w:ascii="Calibri" w:cs="Calibri" w:eastAsia="Calibri" w:hAnsi="Calibri"/>
          <w:color w:val="5B5B5B"/>
          <w:sz w:val="22"/>
          <w:szCs w:val="22"/>
        </w:rPr>
        <w:t xml:space="preserve">Prepared to support an application under the UK Innovator Founder route</w:t>
      </w:r>
    </w:p>
    <w:p>
      <w:pPr>
        <w:spacing w:before="100"/>
        <w:jc w:val="center"/>
      </w:pPr>
      <w:r>
        <w:rPr>
          <w:rFonts w:ascii="Calibri" w:cs="Calibri" w:eastAsia="Calibri" w:hAnsi="Calibri"/>
          <w:color w:val="5B5B5B"/>
          <w:sz w:val="22"/>
          <w:szCs w:val="22"/>
        </w:rPr>
        <w:t xml:space="preserve">Founder: [Your full name]  ·  August 2026</w:t>
      </w:r>
    </w:p>
    <w:p>
      <w:pPr>
        <w:spacing w:before="1400"/>
      </w:pP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9060"/>
      </w:tblGrid>
      <w:tr>
        <w:tc>
          <w:tcPr>
            <w:tcW w:type="dxa" w:w="9060"/>
            <w:shd w:fill="FFF7E0" w:val="clear"/>
            <w:tcMar>
              <w:top w:type="dxa" w:w="180"/>
              <w:left w:type="dxa" w:w="220"/>
              <w:bottom w:type="dxa" w:w="180"/>
              <w:right w:type="dxa" w:w="220"/>
            </w:tcMar>
          </w:tcPr>
          <w:p>
            <w:pPr>
              <w:spacing w:after="100"/>
            </w:pPr>
            <w:r>
              <w:rPr>
                <w:rFonts w:ascii="Calibri" w:cs="Calibri" w:eastAsia="Calibri" w:hAnsi="Calibri"/>
                <w:b/>
                <w:bCs/>
                <w:color w:val="8A6D00"/>
                <w:sz w:val="21"/>
                <w:szCs w:val="21"/>
              </w:rPr>
              <w:t xml:space="preserve">Before you use this</w:t>
            </w:r>
          </w:p>
          <w:p>
            <w:pPr>
              <w:spacing w:after="60"/>
            </w:pPr>
            <w:r>
              <w:rPr>
                <w:rFonts w:ascii="Calibri" w:cs="Calibri" w:eastAsia="Calibri" w:hAnsi="Calibri"/>
                <w:color w:val="3D3320"/>
                <w:sz w:val="20"/>
                <w:szCs w:val="20"/>
              </w:rPr>
              <w:t xml:space="preserve">This is a working draft to structure your thinking and your evidence, not a finished, submission-ready business plan and not immigration or legal advice.</w:t>
            </w:r>
          </w:p>
          <w:p>
            <w:pPr>
              <w:spacing w:after="60"/>
            </w:pPr>
            <w:r>
              <w:rPr>
                <w:rFonts w:ascii="Calibri" w:cs="Calibri" w:eastAsia="Calibri" w:hAnsi="Calibri"/>
                <w:color w:val="3D3320"/>
                <w:sz w:val="20"/>
                <w:szCs w:val="20"/>
              </w:rPr>
              <w:t xml:space="preserve">Endorsing bodies assess real founders, not templates — the placeholders in red throughout this document (your background, funding, financials, team) are the parts that will actually decide whether it is endorsed, and they need to be true and evidenced.</w:t>
            </w:r>
          </w:p>
          <w:p>
            <w:pPr>
              <w:spacing w:after="60"/>
            </w:pPr>
            <w:r>
              <w:rPr>
                <w:rFonts w:ascii="Calibri" w:cs="Calibri" w:eastAsia="Calibri" w:hAnsi="Calibri"/>
                <w:color w:val="3D3320"/>
                <w:sz w:val="20"/>
                <w:szCs w:val="20"/>
              </w:rPr>
              <w:t xml:space="preserve">Have the final plan and application reviewed by a regulated UK immigration adviser or solicitor (OISC- or SRA-regulated) before submission — refusals can affect future applications.</w:t>
            </w:r>
          </w:p>
        </w:tc>
      </w:tr>
    </w:tbl>
    <w:p>
      <w:r>
        <w:br w:type="page"/>
      </w:r>
    </w:p>
    <w:p>
      <w:pPr>
        <w:pStyle w:val="Heading1"/>
        <w:pBdr>
          <w:bottom w:val="single" w:color="1F3B57" w:sz="6" w:space="4"/>
        </w:pBdr>
        <w:spacing w:after="200" w:before="400"/>
      </w:pPr>
      <w:r>
        <w:rPr>
          <w:rFonts w:ascii="Calibri" w:cs="Calibri" w:eastAsia="Calibri" w:hAnsi="Calibri"/>
          <w:b/>
          <w:bCs/>
          <w:color w:val="1F3B57"/>
          <w:sz w:val="30"/>
          <w:szCs w:val="30"/>
        </w:rPr>
        <w:t xml:space="preserve">Contents</w:t>
      </w:r>
    </w:p>
    <w:p>
      <w:pPr>
        <w:spacing w:after="130"/>
      </w:pPr>
      <w:r>
        <w:rPr>
          <w:rFonts w:ascii="Calibri" w:cs="Calibri" w:eastAsia="Calibri" w:hAnsi="Calibri"/>
          <w:color w:val="222222"/>
          <w:sz w:val="22"/>
          <w:szCs w:val="22"/>
        </w:rPr>
        <w:t xml:space="preserve">1. Executive Summary</w:t>
      </w:r>
    </w:p>
    <w:p>
      <w:pPr>
        <w:spacing w:after="130"/>
      </w:pPr>
      <w:r>
        <w:rPr>
          <w:rFonts w:ascii="Calibri" w:cs="Calibri" w:eastAsia="Calibri" w:hAnsi="Calibri"/>
          <w:color w:val="222222"/>
          <w:sz w:val="22"/>
          <w:szCs w:val="22"/>
        </w:rPr>
        <w:t xml:space="preserve">2. Founder Profile</w:t>
      </w:r>
    </w:p>
    <w:p>
      <w:pPr>
        <w:spacing w:after="130"/>
      </w:pPr>
      <w:r>
        <w:rPr>
          <w:rFonts w:ascii="Calibri" w:cs="Calibri" w:eastAsia="Calibri" w:hAnsi="Calibri"/>
          <w:color w:val="222222"/>
          <w:sz w:val="22"/>
          <w:szCs w:val="22"/>
        </w:rPr>
        <w:t xml:space="preserve">3. The Innovation</w:t>
      </w:r>
    </w:p>
    <w:p>
      <w:pPr>
        <w:spacing w:after="130"/>
      </w:pPr>
      <w:r>
        <w:rPr>
          <w:rFonts w:ascii="Calibri" w:cs="Calibri" w:eastAsia="Calibri" w:hAnsi="Calibri"/>
          <w:color w:val="222222"/>
          <w:sz w:val="22"/>
          <w:szCs w:val="22"/>
        </w:rPr>
        <w:t xml:space="preserve">4. Market &amp; Competitor Analysis</w:t>
      </w:r>
    </w:p>
    <w:p>
      <w:pPr>
        <w:spacing w:after="130"/>
      </w:pPr>
      <w:r>
        <w:rPr>
          <w:rFonts w:ascii="Calibri" w:cs="Calibri" w:eastAsia="Calibri" w:hAnsi="Calibri"/>
          <w:color w:val="222222"/>
          <w:sz w:val="22"/>
          <w:szCs w:val="22"/>
        </w:rPr>
        <w:t xml:space="preserve">5. Business Model &amp; Operations (Viability)</w:t>
      </w:r>
    </w:p>
    <w:p>
      <w:pPr>
        <w:spacing w:after="130"/>
      </w:pPr>
      <w:r>
        <w:rPr>
          <w:rFonts w:ascii="Calibri" w:cs="Calibri" w:eastAsia="Calibri" w:hAnsi="Calibri"/>
          <w:color w:val="222222"/>
          <w:sz w:val="22"/>
          <w:szCs w:val="22"/>
        </w:rPr>
        <w:t xml:space="preserve">6. Financial Forecasts (Viability)</w:t>
      </w:r>
    </w:p>
    <w:p>
      <w:pPr>
        <w:spacing w:after="130"/>
      </w:pPr>
      <w:r>
        <w:rPr>
          <w:rFonts w:ascii="Calibri" w:cs="Calibri" w:eastAsia="Calibri" w:hAnsi="Calibri"/>
          <w:color w:val="222222"/>
          <w:sz w:val="22"/>
          <w:szCs w:val="22"/>
        </w:rPr>
        <w:t xml:space="preserve">7. Growth &amp; Job Creation Plan (Scalability)</w:t>
      </w:r>
    </w:p>
    <w:p>
      <w:pPr>
        <w:spacing w:after="130"/>
      </w:pPr>
      <w:r>
        <w:rPr>
          <w:rFonts w:ascii="Calibri" w:cs="Calibri" w:eastAsia="Calibri" w:hAnsi="Calibri"/>
          <w:color w:val="222222"/>
          <w:sz w:val="22"/>
          <w:szCs w:val="22"/>
        </w:rPr>
        <w:t xml:space="preserve">8. Development Roadmap</w:t>
      </w:r>
    </w:p>
    <w:p>
      <w:pPr>
        <w:spacing w:after="130"/>
      </w:pPr>
      <w:r>
        <w:rPr>
          <w:rFonts w:ascii="Calibri" w:cs="Calibri" w:eastAsia="Calibri" w:hAnsi="Calibri"/>
          <w:color w:val="222222"/>
          <w:sz w:val="22"/>
          <w:szCs w:val="22"/>
        </w:rPr>
        <w:t xml:space="preserve">9. Risk Assessment</w:t>
      </w:r>
    </w:p>
    <w:p>
      <w:pPr>
        <w:spacing w:after="130"/>
      </w:pPr>
      <w:r>
        <w:rPr>
          <w:rFonts w:ascii="Calibri" w:cs="Calibri" w:eastAsia="Calibri" w:hAnsi="Calibri"/>
          <w:color w:val="222222"/>
          <w:sz w:val="22"/>
          <w:szCs w:val="22"/>
        </w:rPr>
        <w:t xml:space="preserve">10. The Endorsement Process — What Else Is Needed</w:t>
      </w:r>
    </w:p>
    <w:p>
      <w:pPr>
        <w:spacing w:after="130"/>
      </w:pPr>
      <w:r>
        <w:rPr>
          <w:rFonts w:ascii="Calibri" w:cs="Calibri" w:eastAsia="Calibri" w:hAnsi="Calibri"/>
          <w:color w:val="222222"/>
          <w:sz w:val="22"/>
          <w:szCs w:val="22"/>
        </w:rPr>
        <w:t xml:space="preserve">11. Conclusion</w:t>
      </w:r>
    </w:p>
    <w:p>
      <w:r>
        <w:br w:type="page"/>
      </w:r>
    </w:p>
    <w:p>
      <w:pPr>
        <w:pStyle w:val="Heading1"/>
        <w:pBdr>
          <w:bottom w:val="single" w:color="1F3B57" w:sz="6" w:space="4"/>
        </w:pBdr>
        <w:spacing w:after="200" w:before="400"/>
      </w:pPr>
      <w:r>
        <w:rPr>
          <w:rFonts w:ascii="Calibri" w:cs="Calibri" w:eastAsia="Calibri" w:hAnsi="Calibri"/>
          <w:b/>
          <w:bCs/>
          <w:color w:val="1F3B57"/>
          <w:sz w:val="30"/>
          <w:szCs w:val="30"/>
        </w:rPr>
        <w:t xml:space="preserve">1. Executive Summary</w:t>
      </w:r>
    </w:p>
    <w:p>
      <w:pPr>
        <w:spacing w:after="160" w:line="276"/>
      </w:pPr>
      <w:r>
        <w:rPr>
          <w:rFonts w:ascii="Calibri" w:cs="Calibri" w:eastAsia="Calibri" w:hAnsi="Calibri"/>
          <w:color w:val="222222"/>
          <w:sz w:val="22"/>
          <w:szCs w:val="22"/>
        </w:rPr>
        <w:t xml:space="preserve">[Company name] is developing an AI-adaptive cricket bowling machine — a training system that senses how a batter is playing each delivery style in real time and switches pace, line, length, swing, or spin the moment the player has mastered the current pattern, rather than varying on a timer or at random as existing machines do.</w:t>
      </w:r>
    </w:p>
    <w:p>
      <w:pPr>
        <w:spacing w:after="160" w:line="276"/>
      </w:pPr>
      <w:r>
        <w:rPr>
          <w:rFonts w:ascii="Calibri" w:cs="Calibri" w:eastAsia="Calibri" w:hAnsi="Calibri"/>
          <w:color w:val="222222"/>
          <w:sz w:val="22"/>
          <w:szCs w:val="22"/>
        </w:rPr>
        <w:t xml:space="preserve">Cricket coaching already recognises this problem: a bowling machine that repeats or randomises on a schedule lets a batter groove a pattern instead of learning to read genuine uncertainty. No product on the market today closes the loop between a batter's actual, measured performance and the machine's next delivery decision. This is the gap the business is built to fill, combining computer-vision player analysis with a decision engine that starts rule-based and evolves into a learned, reinforcement-learning policy as session data accumulates.</w:t>
      </w:r>
    </w:p>
    <w:p>
      <w:pPr>
        <w:spacing w:after="160" w:line="276"/>
      </w:pPr>
      <w:r>
        <w:rPr>
          <w:rFonts w:ascii="Calibri" w:cs="Calibri" w:eastAsia="Calibri" w:hAnsi="Calibri"/>
          <w:color w:val="222222"/>
          <w:sz w:val="22"/>
          <w:szCs w:val="22"/>
        </w:rPr>
        <w:t xml:space="preserve">The business is being founded and will be led from the UK by [your name], who brings [one or two sentences on your relevant background — technical, sporting, or commercial]. This plan sets out the innovation, the path to a viable and revenue-generating business, and a scalability plan built around UK job creation and international expansion, in support of an application under the Innovator Founder route.</w:t>
      </w:r>
    </w:p>
    <w:p>
      <w:pPr>
        <w:pStyle w:val="Heading1"/>
        <w:pBdr>
          <w:bottom w:val="single" w:color="1F3B57" w:sz="6" w:space="4"/>
        </w:pBdr>
        <w:spacing w:after="200" w:before="400"/>
      </w:pPr>
      <w:r>
        <w:rPr>
          <w:rFonts w:ascii="Calibri" w:cs="Calibri" w:eastAsia="Calibri" w:hAnsi="Calibri"/>
          <w:b/>
          <w:bCs/>
          <w:color w:val="1F3B57"/>
          <w:sz w:val="30"/>
          <w:szCs w:val="30"/>
        </w:rPr>
        <w:t xml:space="preserve">2. Founder Profile</w:t>
      </w:r>
    </w:p>
    <w:p>
      <w:pPr>
        <w:spacing w:after="160" w:line="276"/>
      </w:pPr>
      <w:r>
        <w:rPr>
          <w:rFonts w:ascii="Calibri" w:cs="Calibri" w:eastAsia="Calibri" w:hAnsi="Calibri"/>
          <w:color w:val="222222"/>
          <w:sz w:val="22"/>
          <w:szCs w:val="22"/>
        </w:rPr>
        <w:t xml:space="preserve">Endorsing bodies assess the founder as closely as the idea — they need to see genuine, hands-on ownership of the business, not a licensed or inherited concept. This section should be written in the first person in the final application and supported by a CV.</w:t>
      </w:r>
    </w:p>
    <w:p>
      <w:pPr>
        <w:spacing w:after="160" w:line="276"/>
      </w:pPr>
      <w:r>
        <w:rPr>
          <w:rFonts w:ascii="Calibri" w:cs="Calibri" w:eastAsia="Calibri" w:hAnsi="Calibri"/>
          <w:i/>
          <w:iCs/>
          <w:color w:val="C0392B"/>
          <w:sz w:val="22"/>
          <w:szCs w:val="22"/>
        </w:rPr>
        <w:t xml:space="preserve">[Your relevant background: technical/engineering, coaching, sports-tech, or entrepreneurial experience]</w:t>
      </w:r>
    </w:p>
    <w:p>
      <w:pPr>
        <w:spacing w:after="160" w:line="276"/>
      </w:pPr>
      <w:r>
        <w:rPr>
          <w:rFonts w:ascii="Calibri" w:cs="Calibri" w:eastAsia="Calibri" w:hAnsi="Calibri"/>
          <w:i/>
          <w:iCs/>
          <w:color w:val="C0392B"/>
          <w:sz w:val="22"/>
          <w:szCs w:val="22"/>
        </w:rPr>
        <w:t xml:space="preserve">[Your specific, ongoing role in the business (e.g. product lead, day-to-day decision-maker) and time commitment]</w:t>
      </w:r>
    </w:p>
    <w:p>
      <w:pPr>
        <w:spacing w:after="160" w:line="276"/>
      </w:pPr>
      <w:r>
        <w:rPr>
          <w:rFonts w:ascii="Calibri" w:cs="Calibri" w:eastAsia="Calibri" w:hAnsi="Calibri"/>
          <w:i/>
          <w:iCs/>
          <w:color w:val="C0392B"/>
          <w:sz w:val="22"/>
          <w:szCs w:val="22"/>
        </w:rPr>
        <w:t xml:space="preserve">[Evidence of genuine involvement so far: prototypes built, code written, coaches consulted, prior ventures]</w:t>
      </w:r>
    </w:p>
    <w:p>
      <w:pPr>
        <w:spacing w:after="160" w:line="276"/>
      </w:pPr>
      <w:r>
        <w:rPr>
          <w:rFonts w:ascii="Calibri" w:cs="Calibri" w:eastAsia="Calibri" w:hAnsi="Calibri"/>
          <w:i/>
          <w:iCs/>
          <w:color w:val="C0392B"/>
          <w:sz w:val="22"/>
          <w:szCs w:val="22"/>
        </w:rPr>
        <w:t xml:space="preserve">[Any co-founders or key early hires, and how responsibilities are divided]</w:t>
      </w:r>
    </w:p>
    <w:p>
      <w:pPr>
        <w:spacing w:after="160" w:line="276"/>
      </w:pPr>
      <w:r>
        <w:rPr>
          <w:rFonts w:ascii="Calibri" w:cs="Calibri" w:eastAsia="Calibri" w:hAnsi="Calibri"/>
          <w:b/>
          <w:bCs/>
          <w:color w:val="1F3B57"/>
          <w:sz w:val="22"/>
          <w:szCs w:val="22"/>
        </w:rPr>
        <w:t xml:space="preserve">Why this matters: </w:t>
      </w:r>
      <w:r>
        <w:rPr>
          <w:rFonts w:ascii="Calibri" w:cs="Calibri" w:eastAsia="Calibri" w:hAnsi="Calibri"/>
          <w:color w:val="222222"/>
          <w:sz w:val="22"/>
          <w:szCs w:val="22"/>
        </w:rPr>
        <w:t xml:space="preserve">endorsing bodies are trained to probe whether the applicant genuinely originated and drives the idea, or is a passive investor or hired figurehead. Interview preparation should let you speak fluently and specifically about product decisions, market understanding, and financial assumptions in this plan — generic or rehearsed answers are the most common reason confident-looking applications fail at interview.</w:t>
      </w:r>
    </w:p>
    <w:p>
      <w:pPr>
        <w:pStyle w:val="Heading1"/>
        <w:pBdr>
          <w:bottom w:val="single" w:color="1F3B57" w:sz="6" w:space="4"/>
        </w:pBdr>
        <w:spacing w:after="200" w:before="400"/>
      </w:pPr>
      <w:r>
        <w:rPr>
          <w:rFonts w:ascii="Calibri" w:cs="Calibri" w:eastAsia="Calibri" w:hAnsi="Calibri"/>
          <w:b/>
          <w:bCs/>
          <w:color w:val="1F3B57"/>
          <w:sz w:val="30"/>
          <w:szCs w:val="30"/>
        </w:rPr>
        <w:t xml:space="preserve">3. The Innovation</w:t>
      </w:r>
    </w:p>
    <w:p>
      <w:pPr>
        <w:spacing w:after="160" w:line="276"/>
      </w:pPr>
      <w:r>
        <w:rPr>
          <w:rFonts w:ascii="Calibri" w:cs="Calibri" w:eastAsia="Calibri" w:hAnsi="Calibri"/>
          <w:color w:val="222222"/>
          <w:sz w:val="22"/>
          <w:szCs w:val="22"/>
        </w:rPr>
        <w:t xml:space="preserve">The Innovator Founder route requires an idea that is original and different from anything else currently on the market, and that the applicant is not simply joining an existing trading business. This section makes that case directly.</w:t>
      </w:r>
    </w:p>
    <w:p>
      <w:pPr>
        <w:pStyle w:val="Heading2"/>
        <w:spacing w:after="150" w:before="300"/>
      </w:pPr>
      <w:r>
        <w:rPr>
          <w:rFonts w:ascii="Calibri" w:cs="Calibri" w:eastAsia="Calibri" w:hAnsi="Calibri"/>
          <w:b/>
          <w:bCs/>
          <w:color w:val="1F3B57"/>
          <w:sz w:val="24"/>
          <w:szCs w:val="24"/>
        </w:rPr>
        <w:t xml:space="preserve">3.1 What exists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800"/>
      </w:tblGrid>
      <w:tr>
        <w:trPr>
          <w:tblHeader/>
        </w:trPr>
        <w:tc>
          <w:tcPr>
            <w:tcW w:type="dxa" w:w="26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System</w:t>
            </w:r>
          </w:p>
        </w:tc>
        <w:tc>
          <w:tcPr>
            <w:tcW w:type="dxa" w:w="36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What it offers</w:t>
            </w:r>
          </w:p>
        </w:tc>
        <w:tc>
          <w:tcPr>
            <w:tcW w:type="dxa" w:w="38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What it does not do</w:t>
            </w:r>
          </w:p>
        </w:tc>
      </w:tr>
      <w:tr>
        <w:tc>
          <w:tcPr>
            <w:tcW w:type="dxa" w:w="2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BOLA Professional</w:t>
            </w:r>
          </w:p>
        </w:tc>
        <w:tc>
          <w:tcPr>
            <w:tcW w:type="dxa" w:w="3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Mechanically reliable delivery; manual line/length/swing control; an electronic random mode that varies speed and swing per ball.</w:t>
            </w:r>
          </w:p>
        </w:tc>
        <w:tc>
          <w:tcPr>
            <w:tcW w:type="dxa" w:w="38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Variation is scheduled or randomised — never tied to how the specific batter facing it is actually performing.</w:t>
            </w:r>
          </w:p>
        </w:tc>
      </w:tr>
      <w:tr>
        <w:tc>
          <w:tcPr>
            <w:tcW w:type="dxa" w:w="26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ProBatter PX3</w:t>
            </w:r>
          </w:p>
        </w:tc>
        <w:tc>
          <w:tcPr>
            <w:tcW w:type="dxa" w:w="36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Projects a real bowler's run-up and action for realistic visual timing; a large pre-programmable library of styles and speeds.</w:t>
            </w:r>
          </w:p>
        </w:tc>
        <w:tc>
          <w:tcPr>
            <w:tcW w:type="dxa" w:w="38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Sequences are set by a coach in advance; the system has no way to sense in-session mastery and respond to it.</w:t>
            </w:r>
          </w:p>
        </w:tc>
      </w:tr>
      <w:tr>
        <w:tc>
          <w:tcPr>
            <w:tcW w:type="dxa" w:w="2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[Company name]</w:t>
            </w:r>
          </w:p>
        </w:tc>
        <w:tc>
          <w:tcPr>
            <w:tcW w:type="dxa" w:w="3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Reads batter performance per delivery style in real time via computer vision, scores how well the style has been “mastered,” and switches the moment it has.</w:t>
            </w:r>
          </w:p>
        </w:tc>
        <w:tc>
          <w:tcPr>
            <w:tcW w:type="dxa" w:w="38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To be proven through the roadmap in Section 8 — this is the commercial and technical bet the business is making.</w:t>
            </w:r>
          </w:p>
        </w:tc>
      </w:tr>
    </w:tbl>
    <w:p>
      <w:pPr>
        <w:spacing w:after="300" w:before="80"/>
      </w:pPr>
      <w:r>
        <w:rPr>
          <w:rFonts w:ascii="Calibri" w:cs="Calibri" w:eastAsia="Calibri" w:hAnsi="Calibri"/>
          <w:i/>
          <w:iCs/>
          <w:color w:val="5B5B5B"/>
          <w:sz w:val="18"/>
          <w:szCs w:val="18"/>
        </w:rPr>
        <w:t xml:space="preserve">Sources: BOLA product documentation (bola.co.uk); ProBatter PX3 product page (probatter.com).</w:t>
      </w:r>
    </w:p>
    <w:p>
      <w:pPr>
        <w:pStyle w:val="Heading2"/>
        <w:spacing w:after="150" w:before="300"/>
      </w:pPr>
      <w:r>
        <w:rPr>
          <w:rFonts w:ascii="Calibri" w:cs="Calibri" w:eastAsia="Calibri" w:hAnsi="Calibri"/>
          <w:b/>
          <w:bCs/>
          <w:color w:val="1F3B57"/>
          <w:sz w:val="24"/>
          <w:szCs w:val="24"/>
        </w:rPr>
        <w:t xml:space="preserve">3.2 Why competitors cannot easily replicate this</w:t>
      </w:r>
    </w:p>
    <w:p>
      <w:pPr>
        <w:pStyle w:val="ListParagraph"/>
        <w:numPr>
          <w:ilvl w:val="0"/>
          <w:numId w:val="2"/>
        </w:numPr>
        <w:spacing w:after="90"/>
      </w:pPr>
      <w:r>
        <w:rPr>
          <w:rFonts w:ascii="Calibri" w:cs="Calibri" w:eastAsia="Calibri" w:hAnsi="Calibri"/>
          <w:color w:val="222222"/>
          <w:sz w:val="22"/>
          <w:szCs w:val="22"/>
        </w:rPr>
        <w:t xml:space="preserve">The differentiation is the closed feedback loop — sensing, scoring, and deciding in the seconds between deliveries — not the mechanical throw itself, which is a solved, licensable problem. Replicating it requires the computer-vision and adaptation software stack together with fast-actuation hardware, not either alone.</w:t>
      </w:r>
    </w:p>
    <w:p>
      <w:pPr>
        <w:pStyle w:val="ListParagraph"/>
        <w:numPr>
          <w:ilvl w:val="0"/>
          <w:numId w:val="2"/>
        </w:numPr>
        <w:spacing w:after="90"/>
      </w:pPr>
      <w:r>
        <w:rPr>
          <w:rFonts w:ascii="Calibri" w:cs="Calibri" w:eastAsia="Calibri" w:hAnsi="Calibri"/>
          <w:color w:val="222222"/>
          <w:sz w:val="22"/>
          <w:szCs w:val="22"/>
        </w:rPr>
        <w:t xml:space="preserve">Per-player profiles that persist and improve across sessions create a data advantage that compounds over time and is not something a competitor can copy by observing the hardware.</w:t>
      </w:r>
    </w:p>
    <w:p>
      <w:pPr>
        <w:spacing w:after="160" w:line="276"/>
      </w:pPr>
      <w:r>
        <w:rPr>
          <w:rFonts w:ascii="Calibri" w:cs="Calibri" w:eastAsia="Calibri" w:hAnsi="Calibri"/>
          <w:i/>
          <w:iCs/>
          <w:color w:val="C0392B"/>
          <w:sz w:val="22"/>
          <w:szCs w:val="22"/>
        </w:rPr>
        <w:t xml:space="preserve">[Add any protectable IP here: patent filings in progress, trade secrets in the adaptation algorithm, or exclusive data/coaching partnerships]</w:t>
      </w:r>
    </w:p>
    <w:p>
      <w:pPr>
        <w:pStyle w:val="Heading1"/>
        <w:pBdr>
          <w:bottom w:val="single" w:color="1F3B57" w:sz="6" w:space="4"/>
        </w:pBdr>
        <w:spacing w:after="200" w:before="400"/>
      </w:pPr>
      <w:r>
        <w:rPr>
          <w:rFonts w:ascii="Calibri" w:cs="Calibri" w:eastAsia="Calibri" w:hAnsi="Calibri"/>
          <w:b/>
          <w:bCs/>
          <w:color w:val="1F3B57"/>
          <w:sz w:val="30"/>
          <w:szCs w:val="30"/>
        </w:rPr>
        <w:t xml:space="preserve">4. Market &amp; Competitor Analysis</w:t>
      </w:r>
    </w:p>
    <w:p>
      <w:pPr>
        <w:pStyle w:val="Heading2"/>
        <w:spacing w:after="150" w:before="300"/>
      </w:pPr>
      <w:r>
        <w:rPr>
          <w:rFonts w:ascii="Calibri" w:cs="Calibri" w:eastAsia="Calibri" w:hAnsi="Calibri"/>
          <w:b/>
          <w:bCs/>
          <w:color w:val="1F3B57"/>
          <w:sz w:val="24"/>
          <w:szCs w:val="24"/>
        </w:rPr>
        <w:t xml:space="preserve">4.1 Target customers</w:t>
      </w:r>
    </w:p>
    <w:p>
      <w:pPr>
        <w:pStyle w:val="ListParagraph"/>
        <w:numPr>
          <w:ilvl w:val="0"/>
          <w:numId w:val="2"/>
        </w:numPr>
        <w:spacing w:after="90"/>
      </w:pPr>
      <w:r>
        <w:rPr>
          <w:rFonts w:ascii="Calibri" w:cs="Calibri" w:eastAsia="Calibri" w:hAnsi="Calibri"/>
          <w:color w:val="222222"/>
          <w:sz w:val="22"/>
          <w:szCs w:val="22"/>
        </w:rPr>
        <w:t xml:space="preserve">Cricket academies and high-performance training centres currently investing in premium programmable machines (BOLA Professional-class pricing).</w:t>
      </w:r>
    </w:p>
    <w:p>
      <w:pPr>
        <w:pStyle w:val="ListParagraph"/>
        <w:numPr>
          <w:ilvl w:val="0"/>
          <w:numId w:val="2"/>
        </w:numPr>
        <w:spacing w:after="90"/>
      </w:pPr>
      <w:r>
        <w:rPr>
          <w:rFonts w:ascii="Calibri" w:cs="Calibri" w:eastAsia="Calibri" w:hAnsi="Calibri"/>
          <w:color w:val="222222"/>
          <w:sz w:val="22"/>
          <w:szCs w:val="22"/>
        </w:rPr>
        <w:t xml:space="preserve">Professional and semi-professional club training facilities.</w:t>
      </w:r>
    </w:p>
    <w:p>
      <w:pPr>
        <w:pStyle w:val="ListParagraph"/>
        <w:numPr>
          <w:ilvl w:val="0"/>
          <w:numId w:val="2"/>
        </w:numPr>
        <w:spacing w:after="90"/>
      </w:pPr>
      <w:r>
        <w:rPr>
          <w:rFonts w:ascii="Calibri" w:cs="Calibri" w:eastAsia="Calibri" w:hAnsi="Calibri"/>
          <w:color w:val="222222"/>
          <w:sz w:val="22"/>
          <w:szCs w:val="22"/>
        </w:rPr>
        <w:t xml:space="preserve">[Add: national cricket boards, university programmes, or franchise academies you have identified or spoken with]</w:t>
      </w:r>
    </w:p>
    <w:p>
      <w:pPr>
        <w:pStyle w:val="Heading2"/>
        <w:spacing w:after="150" w:before="300"/>
      </w:pPr>
      <w:r>
        <w:rPr>
          <w:rFonts w:ascii="Calibri" w:cs="Calibri" w:eastAsia="Calibri" w:hAnsi="Calibri"/>
          <w:b/>
          <w:bCs/>
          <w:color w:val="1F3B57"/>
          <w:sz w:val="24"/>
          <w:szCs w:val="24"/>
        </w:rPr>
        <w:t xml:space="preserve">4.2 Market size and evidence</w:t>
      </w:r>
    </w:p>
    <w:p>
      <w:pPr>
        <w:spacing w:after="160" w:line="276"/>
      </w:pPr>
      <w:r>
        <w:rPr>
          <w:rFonts w:ascii="Calibri" w:cs="Calibri" w:eastAsia="Calibri" w:hAnsi="Calibri"/>
          <w:i/>
          <w:iCs/>
          <w:color w:val="C0392B"/>
          <w:sz w:val="22"/>
          <w:szCs w:val="22"/>
        </w:rPr>
        <w:t xml:space="preserve">[Add sourced market sizing: number of registered cricket players/academies in target markets (UK, India, Australia, etc.), addressable spend on training technology, and citations. Endorsing bodies specifically look for evidence-based figures, not estimates without a source.]</w:t>
      </w:r>
    </w:p>
    <w:p>
      <w:pPr>
        <w:spacing w:after="160" w:line="276"/>
      </w:pPr>
      <w:r>
        <w:rPr>
          <w:rFonts w:ascii="Calibri" w:cs="Calibri" w:eastAsia="Calibri" w:hAnsi="Calibri"/>
          <w:i/>
          <w:iCs/>
          <w:color w:val="C0392B"/>
          <w:sz w:val="22"/>
          <w:szCs w:val="22"/>
        </w:rPr>
        <w:t xml:space="preserve">[Add evidence of demand: conversations with coaches or academies, letters of interest, waiting-list sign-ups, or a pilot commitment]</w:t>
      </w:r>
    </w:p>
    <w:p>
      <w:pPr>
        <w:pStyle w:val="Heading2"/>
        <w:spacing w:after="150" w:before="300"/>
      </w:pPr>
      <w:r>
        <w:rPr>
          <w:rFonts w:ascii="Calibri" w:cs="Calibri" w:eastAsia="Calibri" w:hAnsi="Calibri"/>
          <w:b/>
          <w:bCs/>
          <w:color w:val="1F3B57"/>
          <w:sz w:val="24"/>
          <w:szCs w:val="24"/>
        </w:rPr>
        <w:t xml:space="preserve">4.3 Competitive positioning</w:t>
      </w:r>
    </w:p>
    <w:p>
      <w:pPr>
        <w:spacing w:after="160" w:line="276"/>
      </w:pPr>
      <w:r>
        <w:rPr>
          <w:rFonts w:ascii="Calibri" w:cs="Calibri" w:eastAsia="Calibri" w:hAnsi="Calibri"/>
          <w:color w:val="222222"/>
          <w:sz w:val="22"/>
          <w:szCs w:val="22"/>
        </w:rPr>
        <w:t xml:space="preserve">The competitor table in Section 3.1 doubles as the market-positioning evidence: the business sits above manual/random-mode machines on realism and above pre-programmed simulators on responsiveness, at a price point to be validated through Phase 1 (Section 8).</w:t>
      </w:r>
    </w:p>
    <w:p>
      <w:pPr>
        <w:pStyle w:val="Heading1"/>
        <w:pBdr>
          <w:bottom w:val="single" w:color="1F3B57" w:sz="6" w:space="4"/>
        </w:pBdr>
        <w:spacing w:after="200" w:before="400"/>
      </w:pPr>
      <w:r>
        <w:rPr>
          <w:rFonts w:ascii="Calibri" w:cs="Calibri" w:eastAsia="Calibri" w:hAnsi="Calibri"/>
          <w:b/>
          <w:bCs/>
          <w:color w:val="1F3B57"/>
          <w:sz w:val="30"/>
          <w:szCs w:val="30"/>
        </w:rPr>
        <w:t xml:space="preserve">5. Business Model &amp; Operations (Viability)</w:t>
      </w:r>
    </w:p>
    <w:p>
      <w:pPr>
        <w:pStyle w:val="Heading2"/>
        <w:spacing w:after="150" w:before="300"/>
      </w:pPr>
      <w:r>
        <w:rPr>
          <w:rFonts w:ascii="Calibri" w:cs="Calibri" w:eastAsia="Calibri" w:hAnsi="Calibri"/>
          <w:b/>
          <w:bCs/>
          <w:color w:val="1F3B57"/>
          <w:sz w:val="24"/>
          <w:szCs w:val="24"/>
        </w:rPr>
        <w:t xml:space="preserve">5.1 Revenue model</w:t>
      </w:r>
    </w:p>
    <w:p>
      <w:pPr>
        <w:pStyle w:val="ListParagraph"/>
        <w:numPr>
          <w:ilvl w:val="0"/>
          <w:numId w:val="2"/>
        </w:numPr>
        <w:spacing w:after="90"/>
      </w:pPr>
      <w:r>
        <w:rPr>
          <w:rFonts w:ascii="Calibri" w:cs="Calibri" w:eastAsia="Calibri" w:hAnsi="Calibri"/>
          <w:color w:val="222222"/>
          <w:sz w:val="22"/>
          <w:szCs w:val="22"/>
        </w:rPr>
        <w:t xml:space="preserve">Hardware sales or lease of the adaptive bowling machine to academies and training facilities.</w:t>
      </w:r>
    </w:p>
    <w:p>
      <w:pPr>
        <w:pStyle w:val="ListParagraph"/>
        <w:numPr>
          <w:ilvl w:val="0"/>
          <w:numId w:val="2"/>
        </w:numPr>
        <w:spacing w:after="90"/>
      </w:pPr>
      <w:r>
        <w:rPr>
          <w:rFonts w:ascii="Calibri" w:cs="Calibri" w:eastAsia="Calibri" w:hAnsi="Calibri"/>
          <w:color w:val="222222"/>
          <w:sz w:val="22"/>
          <w:szCs w:val="22"/>
        </w:rPr>
        <w:t xml:space="preserve">Software/data subscription for the coach dashboard, player-profile history, and cloud-based model improvements.</w:t>
      </w:r>
    </w:p>
    <w:p>
      <w:pPr>
        <w:pStyle w:val="ListParagraph"/>
        <w:numPr>
          <w:ilvl w:val="0"/>
          <w:numId w:val="2"/>
        </w:numPr>
        <w:spacing w:after="90"/>
      </w:pPr>
      <w:r>
        <w:rPr>
          <w:rFonts w:ascii="Calibri" w:cs="Calibri" w:eastAsia="Calibri" w:hAnsi="Calibri"/>
          <w:color w:val="222222"/>
          <w:sz w:val="22"/>
          <w:szCs w:val="22"/>
        </w:rPr>
        <w:t xml:space="preserve">[Add: any planned service revenue — installation, maintenance contracts, or coaching-partner licensing]</w:t>
      </w:r>
    </w:p>
    <w:p>
      <w:pPr>
        <w:pStyle w:val="Heading2"/>
        <w:spacing w:after="150" w:before="300"/>
      </w:pPr>
      <w:r>
        <w:rPr>
          <w:rFonts w:ascii="Calibri" w:cs="Calibri" w:eastAsia="Calibri" w:hAnsi="Calibri"/>
          <w:b/>
          <w:bCs/>
          <w:color w:val="1F3B57"/>
          <w:sz w:val="24"/>
          <w:szCs w:val="24"/>
        </w:rPr>
        <w:t xml:space="preserve">5.2 Pricing</w:t>
      </w:r>
    </w:p>
    <w:p>
      <w:pPr>
        <w:spacing w:after="160" w:line="276"/>
      </w:pPr>
      <w:r>
        <w:rPr>
          <w:rFonts w:ascii="Calibri" w:cs="Calibri" w:eastAsia="Calibri" w:hAnsi="Calibri"/>
          <w:i/>
          <w:iCs/>
          <w:color w:val="C0392B"/>
          <w:sz w:val="22"/>
          <w:szCs w:val="22"/>
        </w:rPr>
        <w:t xml:space="preserve">[Add proposed pricing for hardware and/or subscription, benchmarked against BOLA Professional and ProBatter PX3 list prices where available]</w:t>
      </w:r>
    </w:p>
    <w:p>
      <w:pPr>
        <w:pStyle w:val="Heading2"/>
        <w:spacing w:after="150" w:before="300"/>
      </w:pPr>
      <w:r>
        <w:rPr>
          <w:rFonts w:ascii="Calibri" w:cs="Calibri" w:eastAsia="Calibri" w:hAnsi="Calibri"/>
          <w:b/>
          <w:bCs/>
          <w:color w:val="1F3B57"/>
          <w:sz w:val="24"/>
          <w:szCs w:val="24"/>
        </w:rPr>
        <w:t xml:space="preserve">5.3 Operations</w:t>
      </w:r>
    </w:p>
    <w:p>
      <w:pPr>
        <w:pStyle w:val="ListParagraph"/>
        <w:numPr>
          <w:ilvl w:val="0"/>
          <w:numId w:val="2"/>
        </w:numPr>
        <w:spacing w:after="90"/>
      </w:pPr>
      <w:r>
        <w:rPr>
          <w:rFonts w:ascii="Calibri" w:cs="Calibri" w:eastAsia="Calibri" w:hAnsi="Calibri"/>
          <w:color w:val="222222"/>
          <w:sz w:val="22"/>
          <w:szCs w:val="22"/>
        </w:rPr>
        <w:t xml:space="preserve">Development and assembly: [confirm UK-based development, or a UK design/assembly plus outsourced manufacturing model]</w:t>
      </w:r>
    </w:p>
    <w:p>
      <w:pPr>
        <w:pStyle w:val="ListParagraph"/>
        <w:numPr>
          <w:ilvl w:val="0"/>
          <w:numId w:val="2"/>
        </w:numPr>
        <w:spacing w:after="90"/>
      </w:pPr>
      <w:r>
        <w:rPr>
          <w:rFonts w:ascii="Calibri" w:cs="Calibri" w:eastAsia="Calibri" w:hAnsi="Calibri"/>
          <w:color w:val="222222"/>
          <w:sz w:val="22"/>
          <w:szCs w:val="22"/>
        </w:rPr>
        <w:t xml:space="preserve">Sales channel: direct to academies, and/or through existing bowling-machine distributors as a retrofit sensor/software kit.</w:t>
      </w:r>
    </w:p>
    <w:p>
      <w:pPr>
        <w:pStyle w:val="ListParagraph"/>
        <w:numPr>
          <w:ilvl w:val="0"/>
          <w:numId w:val="2"/>
        </w:numPr>
        <w:spacing w:after="90"/>
      </w:pPr>
      <w:r>
        <w:rPr>
          <w:rFonts w:ascii="Calibri" w:cs="Calibri" w:eastAsia="Calibri" w:hAnsi="Calibri"/>
          <w:color w:val="222222"/>
          <w:sz w:val="22"/>
          <w:szCs w:val="22"/>
        </w:rPr>
        <w:t xml:space="preserve">Support: remote software updates via cloud sync; on-site servicing for the mechanical delivery head.</w:t>
      </w:r>
    </w:p>
    <w:p>
      <w:pPr>
        <w:pStyle w:val="Heading2"/>
        <w:spacing w:after="150" w:before="300"/>
      </w:pPr>
      <w:r>
        <w:rPr>
          <w:rFonts w:ascii="Calibri" w:cs="Calibri" w:eastAsia="Calibri" w:hAnsi="Calibri"/>
          <w:b/>
          <w:bCs/>
          <w:color w:val="1F3B57"/>
          <w:sz w:val="24"/>
          <w:szCs w:val="24"/>
        </w:rPr>
        <w:t xml:space="preserve">5.4 Founder commercial and financial competence</w:t>
      </w:r>
    </w:p>
    <w:p>
      <w:pPr>
        <w:spacing w:after="160" w:line="276"/>
      </w:pPr>
      <w:r>
        <w:rPr>
          <w:rFonts w:ascii="Calibri" w:cs="Calibri" w:eastAsia="Calibri" w:hAnsi="Calibri"/>
          <w:color w:val="222222"/>
          <w:sz w:val="22"/>
          <w:szCs w:val="22"/>
        </w:rPr>
        <w:t xml:space="preserve">Endorsing bodies weigh the founder's demonstrated commercial awareness as heavily as the numbers themselves. The financial forecasts in Section 6 should be defensible in an interview — able to explain every assumption and where it came from.</w:t>
      </w:r>
    </w:p>
    <w:p>
      <w:pPr>
        <w:pStyle w:val="Heading1"/>
        <w:pBdr>
          <w:bottom w:val="single" w:color="1F3B57" w:sz="6" w:space="4"/>
        </w:pBdr>
        <w:spacing w:after="200" w:before="400"/>
      </w:pPr>
      <w:r>
        <w:rPr>
          <w:rFonts w:ascii="Calibri" w:cs="Calibri" w:eastAsia="Calibri" w:hAnsi="Calibri"/>
          <w:b/>
          <w:bCs/>
          <w:color w:val="1F3B57"/>
          <w:sz w:val="30"/>
          <w:szCs w:val="30"/>
        </w:rPr>
        <w:t xml:space="preserve">6. Financial Forecasts (Viability)</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9060"/>
      </w:tblGrid>
      <w:tr>
        <w:tc>
          <w:tcPr>
            <w:tcW w:type="dxa" w:w="9060"/>
            <w:shd w:fill="FFF7E0" w:val="clear"/>
            <w:tcMar>
              <w:top w:type="dxa" w:w="180"/>
              <w:left w:type="dxa" w:w="220"/>
              <w:bottom w:type="dxa" w:w="180"/>
              <w:right w:type="dxa" w:w="220"/>
            </w:tcMar>
          </w:tcPr>
          <w:p>
            <w:pPr>
              <w:spacing w:after="100"/>
            </w:pPr>
            <w:r>
              <w:rPr>
                <w:rFonts w:ascii="Calibri" w:cs="Calibri" w:eastAsia="Calibri" w:hAnsi="Calibri"/>
                <w:b/>
                <w:bCs/>
                <w:color w:val="8A6D00"/>
                <w:sz w:val="21"/>
                <w:szCs w:val="21"/>
              </w:rPr>
              <w:t xml:space="preserve">Illustrative only — replace before submission</w:t>
            </w:r>
          </w:p>
          <w:p>
            <w:pPr>
              <w:spacing w:after="60"/>
            </w:pPr>
            <w:r>
              <w:rPr>
                <w:rFonts w:ascii="Calibri" w:cs="Calibri" w:eastAsia="Calibri" w:hAnsi="Calibri"/>
                <w:color w:val="3D3320"/>
                <w:sz w:val="20"/>
                <w:szCs w:val="20"/>
              </w:rPr>
              <w:t xml:space="preserve">The figures below are placeholder scaffolding to show the shape of a 3-year forecast. Endorsing bodies routinely refuse applications over unrealistic or unsupported projections — every number here must be replaced with one you can defend, built from real costed quotes, comparable pricing, and stated, evidenced assumptions.</w:t>
            </w:r>
          </w:p>
        </w:tc>
      </w:tr>
    </w:tbl>
    <w:p>
      <w:pPr>
        <w:pStyle w:val="Heading2"/>
        <w:spacing w:after="150" w:before="300"/>
      </w:pPr>
      <w:r>
        <w:rPr>
          <w:rFonts w:ascii="Calibri" w:cs="Calibri" w:eastAsia="Calibri" w:hAnsi="Calibri"/>
          <w:b/>
          <w:bCs/>
          <w:color w:val="1F3B57"/>
          <w:sz w:val="24"/>
          <w:szCs w:val="24"/>
        </w:rPr>
        <w:t xml:space="preserve">6.1 Start-up costs (illustrative)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Item</w:t>
            </w:r>
          </w:p>
        </w:tc>
        <w:tc>
          <w:tcPr>
            <w:tcW w:type="dxa" w:w="22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Illustrative cost</w:t>
            </w:r>
          </w:p>
        </w:tc>
        <w:tc>
          <w:tcPr>
            <w:tcW w:type="dxa" w:w="22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Notes</w:t>
            </w:r>
          </w:p>
        </w:tc>
      </w:tr>
      <w:tr>
        <w:tc>
          <w:tcPr>
            <w:tcW w:type="dxa" w:w="4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Mechanical platform (license/partner or build)</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Confirm build-vs-partner route from Phase 0</w:t>
            </w:r>
          </w:p>
        </w:tc>
      </w:tr>
      <w:tr>
        <w:tc>
          <w:tcPr>
            <w:tcW w:type="dxa" w:w="46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Sensor suite &amp; edge compute (per prototype unit)</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Cameras, radar, on-device compute</w:t>
            </w:r>
          </w:p>
        </w:tc>
      </w:tr>
      <w:tr>
        <w:tc>
          <w:tcPr>
            <w:tcW w:type="dxa" w:w="4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Software/ML development (Phase 1–2)</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Engineering time, in-house or contracted</w:t>
            </w:r>
          </w:p>
        </w:tc>
      </w:tr>
      <w:tr>
        <w:tc>
          <w:tcPr>
            <w:tcW w:type="dxa" w:w="46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Pilot deployment (2–4 units)</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Includes academy partnership costs</w:t>
            </w:r>
          </w:p>
        </w:tc>
      </w:tr>
      <w:tr>
        <w:tc>
          <w:tcPr>
            <w:tcW w:type="dxa" w:w="4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Legal, IP, and company formation</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UK company setup, any patent filings</w:t>
            </w:r>
          </w:p>
        </w:tc>
      </w:tr>
      <w:tr>
        <w:tc>
          <w:tcPr>
            <w:tcW w:type="dxa" w:w="46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Working capital / contingency</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Typically 3–6 months of run rate</w:t>
            </w:r>
          </w:p>
        </w:tc>
      </w:tr>
    </w:tbl>
    <w:p>
      <w:pPr>
        <w:pStyle w:val="Heading2"/>
        <w:spacing w:after="150" w:before="300"/>
      </w:pPr>
      <w:r>
        <w:rPr>
          <w:rFonts w:ascii="Calibri" w:cs="Calibri" w:eastAsia="Calibri" w:hAnsi="Calibri"/>
          <w:b/>
          <w:bCs/>
          <w:color w:val="1F3B57"/>
          <w:sz w:val="24"/>
          <w:szCs w:val="24"/>
        </w:rPr>
        <w:t xml:space="preserve">6.2 Three-year revenue and cost forecast (illustrative)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60"/>
      </w:tblGrid>
      <w:tr>
        <w:trPr>
          <w:tblHeader/>
        </w:trPr>
        <w:tc>
          <w:tcPr>
            <w:tcW w:type="dxa" w:w="22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
            </w:r>
          </w:p>
        </w:tc>
        <w:tc>
          <w:tcPr>
            <w:tcW w:type="dxa" w:w="22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Year 1</w:t>
            </w:r>
          </w:p>
        </w:tc>
        <w:tc>
          <w:tcPr>
            <w:tcW w:type="dxa" w:w="22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Year 2</w:t>
            </w:r>
          </w:p>
        </w:tc>
        <w:tc>
          <w:tcPr>
            <w:tcW w:type="dxa" w:w="246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Year 3</w:t>
            </w:r>
          </w:p>
        </w:tc>
      </w:tr>
      <w:tr>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Revenue</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46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r>
      <w:tr>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Cost of sales</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46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r>
      <w:tr>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Operating costs</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46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r>
      <w:tr>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Net position</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46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r>
      <w:tr>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Units / subscriptions sold</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c>
          <w:tcPr>
            <w:tcW w:type="dxa" w:w="246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  ]</w:t>
            </w:r>
          </w:p>
        </w:tc>
      </w:tr>
    </w:tbl>
    <w:p>
      <w:pPr>
        <w:pStyle w:val="Heading2"/>
        <w:spacing w:after="150" w:before="300"/>
      </w:pPr>
      <w:r>
        <w:rPr>
          <w:rFonts w:ascii="Calibri" w:cs="Calibri" w:eastAsia="Calibri" w:hAnsi="Calibri"/>
          <w:b/>
          <w:bCs/>
          <w:color w:val="1F3B57"/>
          <w:sz w:val="24"/>
          <w:szCs w:val="24"/>
        </w:rPr>
        <w:t xml:space="preserve">6.3 Source of funds</w:t>
      </w:r>
    </w:p>
    <w:p>
      <w:pPr>
        <w:spacing w:after="160" w:line="276"/>
      </w:pPr>
      <w:r>
        <w:rPr>
          <w:rFonts w:ascii="Calibri" w:cs="Calibri" w:eastAsia="Calibri" w:hAnsi="Calibri"/>
          <w:i/>
          <w:iCs/>
          <w:color w:val="C0392B"/>
          <w:sz w:val="22"/>
          <w:szCs w:val="22"/>
        </w:rPr>
        <w:t xml:space="preserve">[State clearly how the business is funded: personal savings (with evidenced source), investment already secured, or funding being sought — endorsing bodies and the Home Office both check that funds are genuine and accessible, not just promised]</w:t>
      </w:r>
    </w:p>
    <w:p>
      <w:pPr>
        <w:pStyle w:val="Heading1"/>
        <w:pBdr>
          <w:bottom w:val="single" w:color="1F3B57" w:sz="6" w:space="4"/>
        </w:pBdr>
        <w:spacing w:after="200" w:before="400"/>
      </w:pPr>
      <w:r>
        <w:rPr>
          <w:rFonts w:ascii="Calibri" w:cs="Calibri" w:eastAsia="Calibri" w:hAnsi="Calibri"/>
          <w:b/>
          <w:bCs/>
          <w:color w:val="1F3B57"/>
          <w:sz w:val="30"/>
          <w:szCs w:val="30"/>
        </w:rPr>
        <w:t xml:space="preserve">7. Growth &amp; Job Creation Plan (Scalability)</w:t>
      </w:r>
    </w:p>
    <w:p>
      <w:pPr>
        <w:spacing w:after="160" w:line="276"/>
      </w:pPr>
      <w:r>
        <w:rPr>
          <w:rFonts w:ascii="Calibri" w:cs="Calibri" w:eastAsia="Calibri" w:hAnsi="Calibri"/>
          <w:color w:val="222222"/>
          <w:sz w:val="22"/>
          <w:szCs w:val="22"/>
        </w:rPr>
        <w:t xml:space="preserve">The Innovator Founder route requires evidence of planning for growth, including job creation and expansion into national and international markets — and, for settlement later on, the business will ideally be on a path to at least 5 full-time jobs paying at or above the relevant salary threshold, or at least 10 full-time jobs for settled workers, sustained for a minimum of 12 months.</w:t>
      </w:r>
    </w:p>
    <w:p>
      <w:pPr>
        <w:pStyle w:val="Heading2"/>
        <w:spacing w:after="150" w:before="300"/>
      </w:pPr>
      <w:r>
        <w:rPr>
          <w:rFonts w:ascii="Calibri" w:cs="Calibri" w:eastAsia="Calibri" w:hAnsi="Calibri"/>
          <w:b/>
          <w:bCs/>
          <w:color w:val="1F3B57"/>
          <w:sz w:val="24"/>
          <w:szCs w:val="24"/>
        </w:rPr>
        <w:t xml:space="preserve">7.1 UK job creation plan</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360"/>
      </w:tblGrid>
      <w:tr>
        <w:trPr>
          <w:tblHeader/>
        </w:trPr>
        <w:tc>
          <w:tcPr>
            <w:tcW w:type="dxa" w:w="26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Role</w:t>
            </w:r>
          </w:p>
        </w:tc>
        <w:tc>
          <w:tcPr>
            <w:tcW w:type="dxa" w:w="21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Indicative hire timing</w:t>
            </w:r>
          </w:p>
        </w:tc>
        <w:tc>
          <w:tcPr>
            <w:tcW w:type="dxa" w:w="436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Why the role is needed</w:t>
            </w:r>
          </w:p>
        </w:tc>
      </w:tr>
      <w:tr>
        <w:tc>
          <w:tcPr>
            <w:tcW w:type="dxa" w:w="2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Computer vision / ML engineer</w:t>
            </w:r>
          </w:p>
        </w:tc>
        <w:tc>
          <w:tcPr>
            <w:tcW w:type="dxa" w:w="21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Year 1</w:t>
            </w:r>
          </w:p>
        </w:tc>
        <w:tc>
          <w:tcPr>
            <w:tcW w:type="dxa" w:w="436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Builds and maintains the perception and adaptation models</w:t>
            </w:r>
          </w:p>
        </w:tc>
      </w:tr>
      <w:tr>
        <w:tc>
          <w:tcPr>
            <w:tcW w:type="dxa" w:w="26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Embedded / robotics engineer</w:t>
            </w:r>
          </w:p>
        </w:tc>
        <w:tc>
          <w:tcPr>
            <w:tcW w:type="dxa" w:w="21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Year 1</w:t>
            </w:r>
          </w:p>
        </w:tc>
        <w:tc>
          <w:tcPr>
            <w:tcW w:type="dxa" w:w="436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Actuator control and hardware integration</w:t>
            </w:r>
          </w:p>
        </w:tc>
      </w:tr>
      <w:tr>
        <w:tc>
          <w:tcPr>
            <w:tcW w:type="dxa" w:w="2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Mechanical engineer</w:t>
            </w:r>
          </w:p>
        </w:tc>
        <w:tc>
          <w:tcPr>
            <w:tcW w:type="dxa" w:w="21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Year 1</w:t>
            </w:r>
          </w:p>
        </w:tc>
        <w:tc>
          <w:tcPr>
            <w:tcW w:type="dxa" w:w="436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Delivery-head engineering and manufacturing liaison</w:t>
            </w:r>
          </w:p>
        </w:tc>
      </w:tr>
      <w:tr>
        <w:tc>
          <w:tcPr>
            <w:tcW w:type="dxa" w:w="26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App / software developer</w:t>
            </w:r>
          </w:p>
        </w:tc>
        <w:tc>
          <w:tcPr>
            <w:tcW w:type="dxa" w:w="21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Year 2</w:t>
            </w:r>
          </w:p>
        </w:tc>
        <w:tc>
          <w:tcPr>
            <w:tcW w:type="dxa" w:w="436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Coach dashboard and cloud profile platform</w:t>
            </w:r>
          </w:p>
        </w:tc>
      </w:tr>
      <w:tr>
        <w:tc>
          <w:tcPr>
            <w:tcW w:type="dxa" w:w="26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Sales &amp; academy partnerships lead</w:t>
            </w:r>
          </w:p>
        </w:tc>
        <w:tc>
          <w:tcPr>
            <w:tcW w:type="dxa" w:w="21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Year 2</w:t>
            </w:r>
          </w:p>
        </w:tc>
        <w:tc>
          <w:tcPr>
            <w:tcW w:type="dxa" w:w="436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UK and international customer acquisition</w:t>
            </w:r>
          </w:p>
        </w:tc>
      </w:tr>
      <w:tr>
        <w:tc>
          <w:tcPr>
            <w:tcW w:type="dxa" w:w="26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Field service / support engineer</w:t>
            </w:r>
          </w:p>
        </w:tc>
        <w:tc>
          <w:tcPr>
            <w:tcW w:type="dxa" w:w="21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Year 2–3</w:t>
            </w:r>
          </w:p>
        </w:tc>
        <w:tc>
          <w:tcPr>
            <w:tcW w:type="dxa" w:w="436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Installation and maintenance as the unit base grows</w:t>
            </w:r>
          </w:p>
        </w:tc>
      </w:tr>
    </w:tbl>
    <w:p>
      <w:pPr>
        <w:pStyle w:val="Heading2"/>
        <w:spacing w:after="150" w:before="300"/>
      </w:pPr>
      <w:r>
        <w:rPr>
          <w:rFonts w:ascii="Calibri" w:cs="Calibri" w:eastAsia="Calibri" w:hAnsi="Calibri"/>
          <w:b/>
          <w:bCs/>
          <w:color w:val="1F3B57"/>
          <w:sz w:val="24"/>
          <w:szCs w:val="24"/>
        </w:rPr>
        <w:t xml:space="preserve">7.2 National and international expansion</w:t>
      </w:r>
    </w:p>
    <w:p>
      <w:pPr>
        <w:pStyle w:val="ListParagraph"/>
        <w:numPr>
          <w:ilvl w:val="0"/>
          <w:numId w:val="2"/>
        </w:numPr>
        <w:spacing w:after="90"/>
      </w:pPr>
      <w:r>
        <w:rPr>
          <w:rFonts w:ascii="Calibri" w:cs="Calibri" w:eastAsia="Calibri" w:hAnsi="Calibri"/>
          <w:color w:val="222222"/>
          <w:sz w:val="22"/>
          <w:szCs w:val="22"/>
        </w:rPr>
        <w:t xml:space="preserve">UK: academy and club pilots (Phase 3) expanding to a wider domestic sales base.</w:t>
      </w:r>
    </w:p>
    <w:p>
      <w:pPr>
        <w:pStyle w:val="ListParagraph"/>
        <w:numPr>
          <w:ilvl w:val="0"/>
          <w:numId w:val="2"/>
        </w:numPr>
        <w:spacing w:after="90"/>
      </w:pPr>
      <w:r>
        <w:rPr>
          <w:rFonts w:ascii="Calibri" w:cs="Calibri" w:eastAsia="Calibri" w:hAnsi="Calibri"/>
          <w:color w:val="222222"/>
          <w:sz w:val="22"/>
          <w:szCs w:val="22"/>
        </w:rPr>
        <w:t xml:space="preserve">International: cricket-playing markets with strong academy infrastructure — [name target countries, e.g. India, Australia, South Africa] — via distributor partnerships or direct sales.</w:t>
      </w:r>
    </w:p>
    <w:p>
      <w:pPr>
        <w:pStyle w:val="ListParagraph"/>
        <w:numPr>
          <w:ilvl w:val="0"/>
          <w:numId w:val="2"/>
        </w:numPr>
        <w:spacing w:after="90"/>
      </w:pPr>
      <w:r>
        <w:rPr>
          <w:rFonts w:ascii="Calibri" w:cs="Calibri" w:eastAsia="Calibri" w:hAnsi="Calibri"/>
          <w:color w:val="222222"/>
          <w:sz w:val="22"/>
          <w:szCs w:val="22"/>
        </w:rPr>
        <w:t xml:space="preserve">Product-line growth: the same adaptive-sensing approach could extend to other racket/bat sports over time, widening the addressable market.</w:t>
      </w:r>
    </w:p>
    <w:p>
      <w:pPr>
        <w:pStyle w:val="Heading1"/>
        <w:pBdr>
          <w:bottom w:val="single" w:color="1F3B57" w:sz="6" w:space="4"/>
        </w:pBdr>
        <w:spacing w:after="200" w:before="400"/>
      </w:pPr>
      <w:r>
        <w:rPr>
          <w:rFonts w:ascii="Calibri" w:cs="Calibri" w:eastAsia="Calibri" w:hAnsi="Calibri"/>
          <w:b/>
          <w:bCs/>
          <w:color w:val="1F3B57"/>
          <w:sz w:val="30"/>
          <w:szCs w:val="30"/>
        </w:rPr>
        <w:t xml:space="preserve">8. Development Roadmap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300"/>
        <w:gridCol w:w="3200"/>
      </w:tblGrid>
      <w:tr>
        <w:trPr>
          <w:tblHeader/>
        </w:trPr>
        <w:tc>
          <w:tcPr>
            <w:tcW w:type="dxa" w:w="15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Phase</w:t>
            </w:r>
          </w:p>
        </w:tc>
        <w:tc>
          <w:tcPr>
            <w:tcW w:type="dxa" w:w="20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Focus</w:t>
            </w:r>
          </w:p>
        </w:tc>
        <w:tc>
          <w:tcPr>
            <w:tcW w:type="dxa" w:w="33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Key activity</w:t>
            </w:r>
          </w:p>
        </w:tc>
        <w:tc>
          <w:tcPr>
            <w:tcW w:type="dxa" w:w="32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Exit criteria</w:t>
            </w:r>
          </w:p>
        </w:tc>
      </w:tr>
      <w:tr>
        <w:tc>
          <w:tcPr>
            <w:tcW w:type="dxa" w:w="15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0</w:t>
            </w:r>
          </w:p>
        </w:tc>
        <w:tc>
          <w:tcPr>
            <w:tcW w:type="dxa" w:w="20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Feasibility</w:t>
            </w:r>
          </w:p>
        </w:tc>
        <w:tc>
          <w:tcPr>
            <w:tcW w:type="dxa" w:w="3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Confirm mechanical base (license/partner vs. build); define the style taxonomy with a coaching advisor.</w:t>
            </w:r>
          </w:p>
        </w:tc>
        <w:tc>
          <w:tcPr>
            <w:tcW w:type="dxa" w:w="3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Go/no-go decision with a chosen mechanical platform.</w:t>
            </w:r>
          </w:p>
        </w:tc>
      </w:tr>
      <w:tr>
        <w:tc>
          <w:tcPr>
            <w:tcW w:type="dxa" w:w="15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1</w:t>
            </w:r>
          </w:p>
        </w:tc>
        <w:tc>
          <w:tcPr>
            <w:tcW w:type="dxa" w:w="20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Proof of concept</w:t>
            </w:r>
          </w:p>
        </w:tc>
        <w:tc>
          <w:tcPr>
            <w:tcW w:type="dxa" w:w="33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Drive an existing programmable machine's control interface from software; basic CV pipeline for shot-outcome classification.</w:t>
            </w:r>
          </w:p>
        </w:tc>
        <w:tc>
          <w:tcPr>
            <w:tcW w:type="dxa" w:w="3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Rule-based engine triggers a correct style switch in a live net session.</w:t>
            </w:r>
          </w:p>
        </w:tc>
      </w:tr>
      <w:tr>
        <w:tc>
          <w:tcPr>
            <w:tcW w:type="dxa" w:w="15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2</w:t>
            </w:r>
          </w:p>
        </w:tc>
        <w:tc>
          <w:tcPr>
            <w:tcW w:type="dxa" w:w="20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MVP prototype</w:t>
            </w:r>
          </w:p>
        </w:tc>
        <w:tc>
          <w:tcPr>
            <w:tcW w:type="dxa" w:w="3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Full sensor suite and edge compute on one machine; real-time mastery scoring per style.</w:t>
            </w:r>
          </w:p>
        </w:tc>
        <w:tc>
          <w:tcPr>
            <w:tcW w:type="dxa" w:w="3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A working prototype used in supervised sessions with real batters.</w:t>
            </w:r>
          </w:p>
        </w:tc>
      </w:tr>
      <w:tr>
        <w:tc>
          <w:tcPr>
            <w:tcW w:type="dxa" w:w="15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3</w:t>
            </w:r>
          </w:p>
        </w:tc>
        <w:tc>
          <w:tcPr>
            <w:tcW w:type="dxa" w:w="20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Pilot testing</w:t>
            </w:r>
          </w:p>
        </w:tc>
        <w:tc>
          <w:tcPr>
            <w:tcW w:type="dxa" w:w="33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Deploy 2–4 units at partner academies; collect data; gather coach and player feedback.</w:t>
            </w:r>
          </w:p>
        </w:tc>
        <w:tc>
          <w:tcPr>
            <w:tcW w:type="dxa" w:w="3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Validated accuracy of style detection against coach judgement.</w:t>
            </w:r>
          </w:p>
        </w:tc>
      </w:tr>
      <w:tr>
        <w:tc>
          <w:tcPr>
            <w:tcW w:type="dxa" w:w="15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4</w:t>
            </w:r>
          </w:p>
        </w:tc>
        <w:tc>
          <w:tcPr>
            <w:tcW w:type="dxa" w:w="20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Intelligent engine</w:t>
            </w:r>
          </w:p>
        </w:tc>
        <w:tc>
          <w:tcPr>
            <w:tcW w:type="dxa" w:w="3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Move from rule-based triggers to a learned (reinforcement-learning) policy; expand the style library.</w:t>
            </w:r>
          </w:p>
        </w:tc>
        <w:tc>
          <w:tcPr>
            <w:tcW w:type="dxa" w:w="32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Learned policy outperforms the rule-based baseline in pilot data.</w:t>
            </w:r>
          </w:p>
        </w:tc>
      </w:tr>
      <w:tr>
        <w:tc>
          <w:tcPr>
            <w:tcW w:type="dxa" w:w="15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5</w:t>
            </w:r>
          </w:p>
        </w:tc>
        <w:tc>
          <w:tcPr>
            <w:tcW w:type="dxa" w:w="20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Launch &amp; scale</w:t>
            </w:r>
          </w:p>
        </w:tc>
        <w:tc>
          <w:tcPr>
            <w:tcW w:type="dxa" w:w="33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Ruggedised hardware, coach dashboard, cloud profiles, first UK hires, international partnerships.</w:t>
            </w:r>
          </w:p>
        </w:tc>
        <w:tc>
          <w:tcPr>
            <w:tcW w:type="dxa" w:w="32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First commercial units shipped and supported; job-creation plan underway.</w:t>
            </w:r>
          </w:p>
        </w:tc>
      </w:tr>
    </w:tbl>
    <w:p>
      <w:pPr>
        <w:pStyle w:val="Heading1"/>
        <w:pBdr>
          <w:bottom w:val="single" w:color="1F3B57" w:sz="6" w:space="4"/>
        </w:pBdr>
        <w:spacing w:after="200" w:before="400"/>
      </w:pPr>
      <w:r>
        <w:rPr>
          <w:rFonts w:ascii="Calibri" w:cs="Calibri" w:eastAsia="Calibri" w:hAnsi="Calibri"/>
          <w:b/>
          <w:bCs/>
          <w:color w:val="1F3B57"/>
          <w:sz w:val="30"/>
          <w:szCs w:val="30"/>
        </w:rPr>
        <w:t xml:space="preserve">9. Risk Assessment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3300"/>
      </w:tblGrid>
      <w:tr>
        <w:trPr>
          <w:tblHeader/>
        </w:trPr>
        <w:tc>
          <w:tcPr>
            <w:tcW w:type="dxa" w:w="24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Risk</w:t>
            </w:r>
          </w:p>
        </w:tc>
        <w:tc>
          <w:tcPr>
            <w:tcW w:type="dxa" w:w="43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Why it matters</w:t>
            </w:r>
          </w:p>
        </w:tc>
        <w:tc>
          <w:tcPr>
            <w:tcW w:type="dxa" w:w="3300"/>
            <w:shd w:fill="1F3B57" w:val="clear"/>
            <w:tcMar>
              <w:top w:type="dxa" w:w="100"/>
              <w:left w:type="dxa" w:w="120"/>
              <w:bottom w:type="dxa" w:w="100"/>
              <w:right w:type="dxa" w:w="120"/>
            </w:tcMar>
            <w:vAlign w:val="center"/>
          </w:tcPr>
          <w:p>
            <w:r>
              <w:rPr>
                <w:rFonts w:ascii="Calibri" w:cs="Calibri" w:eastAsia="Calibri" w:hAnsi="Calibri"/>
                <w:b/>
                <w:bCs/>
                <w:i w:val="false"/>
                <w:iCs w:val="false"/>
                <w:color w:val="FFFFFF"/>
                <w:sz w:val="20"/>
                <w:szCs w:val="20"/>
              </w:rPr>
              <w:t xml:space="preserve">Mitigation</w:t>
            </w:r>
          </w:p>
        </w:tc>
      </w:tr>
      <w:tr>
        <w:tc>
          <w:tcPr>
            <w:tcW w:type="dxa" w:w="24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Switching latency</w:t>
            </w:r>
          </w:p>
        </w:tc>
        <w:tc>
          <w:tcPr>
            <w:tcW w:type="dxa" w:w="4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A style change must land within the existing ball-to-ball interval or sessions feel unnatural.</w:t>
            </w:r>
          </w:p>
        </w:tc>
        <w:tc>
          <w:tcPr>
            <w:tcW w:type="dxa" w:w="3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Hard latency budget set and tested from Phase 1.</w:t>
            </w:r>
          </w:p>
        </w:tc>
      </w:tr>
      <w:tr>
        <w:tc>
          <w:tcPr>
            <w:tcW w:type="dxa" w:w="24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CV accuracy in real nets</w:t>
            </w:r>
          </w:p>
        </w:tc>
        <w:tc>
          <w:tcPr>
            <w:tcW w:type="dxa" w:w="43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Lighting and background clutter can degrade tracking accuracy.</w:t>
            </w:r>
          </w:p>
        </w:tc>
        <w:tc>
          <w:tcPr>
            <w:tcW w:type="dxa" w:w="33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Train and validate on real net footage from Phase 1 onward.</w:t>
            </w:r>
          </w:p>
        </w:tc>
      </w:tr>
      <w:tr>
        <w:tc>
          <w:tcPr>
            <w:tcW w:type="dxa" w:w="24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Mechanical complexity</w:t>
            </w:r>
          </w:p>
        </w:tc>
        <w:tc>
          <w:tcPr>
            <w:tcW w:type="dxa" w:w="4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Fast switching between styles is harder than scheduled or manual adjustment.</w:t>
            </w:r>
          </w:p>
        </w:tc>
        <w:tc>
          <w:tcPr>
            <w:tcW w:type="dxa" w:w="3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Start from a proven mechanical base rather than a from-scratch design.</w:t>
            </w:r>
          </w:p>
        </w:tc>
      </w:tr>
      <w:tr>
        <w:tc>
          <w:tcPr>
            <w:tcW w:type="dxa" w:w="24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Funding runway</w:t>
            </w:r>
          </w:p>
        </w:tc>
        <w:tc>
          <w:tcPr>
            <w:tcW w:type="dxa" w:w="43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Hardware development cycles are capital- and time-intensive.</w:t>
            </w:r>
          </w:p>
        </w:tc>
        <w:tc>
          <w:tcPr>
            <w:tcW w:type="dxa" w:w="3300"/>
            <w:shd w:fill="EEF2F5" w:val="clear"/>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Phased spending gated on each phase's exit criteria; conservative contingency in Section 6.1.</w:t>
            </w:r>
          </w:p>
        </w:tc>
      </w:tr>
      <w:tr>
        <w:tc>
          <w:tcPr>
            <w:tcW w:type="dxa" w:w="24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Market adoption</w:t>
            </w:r>
          </w:p>
        </w:tc>
        <w:tc>
          <w:tcPr>
            <w:tcW w:type="dxa" w:w="4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Academies have sunk cost in existing machines.</w:t>
            </w:r>
          </w:p>
        </w:tc>
        <w:tc>
          <w:tcPr>
            <w:tcW w:type="dxa" w:w="3300"/>
            <w:tcMar>
              <w:top w:type="dxa" w:w="100"/>
              <w:left w:type="dxa" w:w="120"/>
              <w:bottom w:type="dxa" w:w="100"/>
              <w:right w:type="dxa" w:w="120"/>
            </w:tcMar>
            <w:vAlign w:val="center"/>
          </w:tcPr>
          <w:p>
            <w:r>
              <w:rPr>
                <w:rFonts w:ascii="Calibri" w:cs="Calibri" w:eastAsia="Calibri" w:hAnsi="Calibri"/>
                <w:b w:val="false"/>
                <w:bCs w:val="false"/>
                <w:i w:val="false"/>
                <w:iCs w:val="false"/>
                <w:color w:val="222222"/>
                <w:sz w:val="20"/>
                <w:szCs w:val="20"/>
              </w:rPr>
              <w:t xml:space="preserve">Position early units as a retrofit sensor/software kit before a fully bespoke unit.</w:t>
            </w:r>
          </w:p>
        </w:tc>
      </w:tr>
    </w:tbl>
    <w:p>
      <w:pPr>
        <w:pStyle w:val="Heading1"/>
        <w:pBdr>
          <w:bottom w:val="single" w:color="1F3B57" w:sz="6" w:space="4"/>
        </w:pBdr>
        <w:spacing w:after="200" w:before="400"/>
      </w:pPr>
      <w:r>
        <w:rPr>
          <w:rFonts w:ascii="Calibri" w:cs="Calibri" w:eastAsia="Calibri" w:hAnsi="Calibri"/>
          <w:b/>
          <w:bCs/>
          <w:color w:val="1F3B57"/>
          <w:sz w:val="30"/>
          <w:szCs w:val="30"/>
        </w:rPr>
        <w:t xml:space="preserve">10. The Endorsement Process — What Else Is Needed</w:t>
      </w:r>
    </w:p>
    <w:p>
      <w:pPr>
        <w:spacing w:after="160" w:line="276"/>
      </w:pPr>
      <w:r>
        <w:rPr>
          <w:rFonts w:ascii="Calibri" w:cs="Calibri" w:eastAsia="Calibri" w:hAnsi="Calibri"/>
          <w:color w:val="222222"/>
          <w:sz w:val="22"/>
          <w:szCs w:val="22"/>
        </w:rPr>
        <w:t xml:space="preserve">This plan is one input into the endorsement application, not the whole of it. Based on current published guidance, the wider process typically includes:</w:t>
      </w:r>
    </w:p>
    <w:p>
      <w:pPr>
        <w:pStyle w:val="ListParagraph"/>
        <w:numPr>
          <w:ilvl w:val="0"/>
          <w:numId w:val="2"/>
        </w:numPr>
        <w:spacing w:after="90"/>
      </w:pPr>
      <w:r>
        <w:rPr>
          <w:rFonts w:ascii="Calibri" w:cs="Calibri" w:eastAsia="Calibri" w:hAnsi="Calibri"/>
          <w:color w:val="222222"/>
          <w:sz w:val="22"/>
          <w:szCs w:val="22"/>
        </w:rPr>
        <w:t xml:space="preserve">Selecting and applying to a Home Office–approved endorsing body for the Innovator Founder route, and paying its endorsement fee.</w:t>
      </w:r>
    </w:p>
    <w:p>
      <w:pPr>
        <w:pStyle w:val="ListParagraph"/>
        <w:numPr>
          <w:ilvl w:val="0"/>
          <w:numId w:val="2"/>
        </w:numPr>
        <w:spacing w:after="90"/>
      </w:pPr>
      <w:r>
        <w:rPr>
          <w:rFonts w:ascii="Calibri" w:cs="Calibri" w:eastAsia="Calibri" w:hAnsi="Calibri"/>
          <w:color w:val="222222"/>
          <w:sz w:val="22"/>
          <w:szCs w:val="22"/>
        </w:rPr>
        <w:t xml:space="preserve">A commercial review of the business plan and, in many cases, an interview or presentation where the endorsing body tests founder knowledge, market understanding, financial awareness, and genuine day-to-day involvement.</w:t>
      </w:r>
    </w:p>
    <w:p>
      <w:pPr>
        <w:pStyle w:val="ListParagraph"/>
        <w:numPr>
          <w:ilvl w:val="0"/>
          <w:numId w:val="2"/>
        </w:numPr>
        <w:spacing w:after="90"/>
      </w:pPr>
      <w:r>
        <w:rPr>
          <w:rFonts w:ascii="Calibri" w:cs="Calibri" w:eastAsia="Calibri" w:hAnsi="Calibri"/>
          <w:color w:val="222222"/>
          <w:sz w:val="22"/>
          <w:szCs w:val="22"/>
        </w:rPr>
        <w:t xml:space="preserve">Ongoing endorsement contact points after the visa is granted (commonly at least two check-in meetings) to confirm the business is progressing as planned.</w:t>
      </w:r>
    </w:p>
    <w:p>
      <w:pPr>
        <w:pStyle w:val="ListParagraph"/>
        <w:numPr>
          <w:ilvl w:val="0"/>
          <w:numId w:val="2"/>
        </w:numPr>
        <w:spacing w:after="90"/>
      </w:pPr>
      <w:r>
        <w:rPr>
          <w:rFonts w:ascii="Calibri" w:cs="Calibri" w:eastAsia="Calibri" w:hAnsi="Calibri"/>
          <w:color w:val="222222"/>
          <w:sz w:val="22"/>
          <w:szCs w:val="22"/>
        </w:rPr>
        <w:t xml:space="preserve">The visa application itself to UKVI, including proof of English language ability and identity documents, alongside the endorsement letter.</w:t>
      </w:r>
    </w:p>
    <w:p>
      <w:pPr>
        <w:spacing w:after="160" w:line="276"/>
      </w:pPr>
      <w:r>
        <w:rPr>
          <w:rFonts w:ascii="Calibri" w:cs="Calibri" w:eastAsia="Calibri" w:hAnsi="Calibri"/>
          <w:b/>
          <w:bCs/>
          <w:color w:val="1F3B57"/>
          <w:sz w:val="22"/>
          <w:szCs w:val="22"/>
        </w:rPr>
        <w:t xml:space="preserve">Get this checked: </w:t>
      </w:r>
      <w:r>
        <w:rPr>
          <w:rFonts w:ascii="Calibri" w:cs="Calibri" w:eastAsia="Calibri" w:hAnsi="Calibri"/>
          <w:color w:val="222222"/>
          <w:sz w:val="22"/>
          <w:szCs w:val="22"/>
        </w:rPr>
        <w:t xml:space="preserve">endorsing body criteria, fees, and process details change and vary by body — verify current requirements directly on gov.uk and with your chosen endorsing body, and have a regulated immigration adviser or solicitor review the final plan and application before you submit.</w:t>
      </w:r>
    </w:p>
    <w:p>
      <w:pPr>
        <w:pStyle w:val="Heading1"/>
        <w:pBdr>
          <w:bottom w:val="single" w:color="1F3B57" w:sz="6" w:space="4"/>
        </w:pBdr>
        <w:spacing w:after="200" w:before="400"/>
      </w:pPr>
      <w:r>
        <w:rPr>
          <w:rFonts w:ascii="Calibri" w:cs="Calibri" w:eastAsia="Calibri" w:hAnsi="Calibri"/>
          <w:b/>
          <w:bCs/>
          <w:color w:val="1F3B57"/>
          <w:sz w:val="30"/>
          <w:szCs w:val="30"/>
        </w:rPr>
        <w:t xml:space="preserve">11. Conclusion</w:t>
      </w:r>
    </w:p>
    <w:p>
      <w:pPr>
        <w:spacing w:after="160" w:line="276"/>
      </w:pPr>
      <w:r>
        <w:rPr>
          <w:rFonts w:ascii="Calibri" w:cs="Calibri" w:eastAsia="Calibri" w:hAnsi="Calibri"/>
          <w:color w:val="222222"/>
          <w:sz w:val="22"/>
          <w:szCs w:val="22"/>
        </w:rPr>
        <w:t xml:space="preserve">The mechanical problem of delivering a cricket ball at a chosen line, length and pace is already solved by existing machines. What none of them do is notice, in real time, that a specific batter has stopped being challenged, and act on it the way a good bowler or coach would. That closed loop between measured batter performance and the machine's next decision is the innovation, the roadmap in Section 8 is the path to proving it viable, and the job-creation and expansion plan in Section 7 is the path to scale — the three pillars the Innovator Founder route asks a founder to demonstrate.</w:t>
      </w:r>
    </w:p>
    <w:p>
      <w:pPr>
        <w:spacing w:after="160" w:line="276"/>
      </w:pPr>
      <w:r>
        <w:rPr>
          <w:rFonts w:ascii="Calibri" w:cs="Calibri" w:eastAsia="Calibri" w:hAnsi="Calibri"/>
          <w:b/>
          <w:bCs/>
          <w:color w:val="1F3B57"/>
          <w:sz w:val="22"/>
          <w:szCs w:val="22"/>
        </w:rPr>
        <w:t xml:space="preserve">Immediate next step: </w:t>
      </w:r>
      <w:r>
        <w:rPr>
          <w:rFonts w:ascii="Calibri" w:cs="Calibri" w:eastAsia="Calibri" w:hAnsi="Calibri"/>
          <w:color w:val="222222"/>
          <w:sz w:val="22"/>
          <w:szCs w:val="22"/>
        </w:rPr>
        <w:t xml:space="preserve">complete the placeholders in this document with real figures and your own background, then have it reviewed by a regulated UK immigration adviser before approaching an endorsing body.</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B5B"/>
        <w:sz w:val="16"/>
        <w:szCs w:val="16"/>
      </w:rPr>
      <w:t xml:space="preserve">Page </w:t>
    </w:r>
    <w:r>
      <w:rPr>
        <w:rFonts w:ascii="Calibri" w:cs="Calibri" w:eastAsia="Calibri" w:hAnsi="Calibri"/>
        <w:color w:val="5B5B5B"/>
        <w:sz w:val="16"/>
        <w:szCs w:val="16"/>
      </w:rPr>
      <w:fldChar w:fldCharType="begin"/>
      <w:instrText xml:space="preserve">PAGE</w:instrText>
      <w:fldChar w:fldCharType="separate"/>
      <w:fldChar w:fldCharType="end"/>
    </w:r>
    <w:r>
      <w:rPr>
        <w:rFonts w:ascii="Calibri" w:cs="Calibri" w:eastAsia="Calibri" w:hAnsi="Calibri"/>
        <w:color w:val="5B5B5B"/>
        <w:sz w:val="16"/>
        <w:szCs w:val="16"/>
      </w:rPr>
      <w:t xml:space="preserve"> of </w:t>
    </w:r>
    <w:r>
      <w:rPr>
        <w:rFonts w:ascii="Calibri" w:cs="Calibri" w:eastAsia="Calibri" w:hAnsi="Calibri"/>
        <w:color w:val="5B5B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5B5B"/>
        <w:sz w:val="16"/>
        <w:szCs w:val="16"/>
      </w:rPr>
      <w:t xml:space="preserve">AI-Adaptive Bowling Machine — Innovator Founder Business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2026-08-25T17:02:48.035Z</dcterms:created>
  <dcterms:modified xsi:type="dcterms:W3CDTF">2026-08-25T17:02:48.056Z</dcterms:modified>
</cp:coreProperties>
</file>

<file path=docProps/custom.xml><?xml version="1.0" encoding="utf-8"?>
<Properties xmlns="http://schemas.openxmlformats.org/officeDocument/2006/custom-properties" xmlns:vt="http://schemas.openxmlformats.org/officeDocument/2006/docPropsVTypes"/>
</file>