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aps/>
          <w:color w:val="C0392B"/>
          <w:spacing w:val="10"/>
          <w:sz w:val="20"/>
          <w:szCs w:val="20"/>
        </w:rPr>
        <w:t xml:space="preserve">MVP RESEARCH &amp; DEVELOPMENT PLAN</w:t>
      </w:r>
    </w:p>
    <w:p>
      <w:pPr>
        <w:spacing w:after="200" w:before="200"/>
        <w:jc w:val="center"/>
      </w:pPr>
      <w:r>
        <w:rPr>
          <w:rFonts w:ascii="Calibri" w:cs="Calibri" w:eastAsia="Calibri" w:hAnsi="Calibri"/>
          <w:b/>
          <w:bCs/>
          <w:color w:val="1F3B57"/>
          <w:sz w:val="52"/>
          <w:szCs w:val="52"/>
        </w:rPr>
        <w:t xml:space="preserve">AI-Adaptive Bowling Machine</w:t>
      </w:r>
    </w:p>
    <w:p>
      <w:pPr>
        <w:spacing w:after="900"/>
        <w:jc w:val="center"/>
      </w:pPr>
      <w:r>
        <w:rPr>
          <w:rFonts w:ascii="Calibri" w:cs="Calibri" w:eastAsia="Calibri" w:hAnsi="Calibri"/>
          <w:i/>
          <w:iCs/>
          <w:color w:val="5B5B5B"/>
          <w:sz w:val="24"/>
          <w:szCs w:val="24"/>
        </w:rPr>
        <w:t xml:space="preserve">Software-First Scope — Proving the Adaptation Logic Before Building the Hardware</w:t>
      </w:r>
    </w:p>
    <w:p>
      <w:pPr>
        <w:spacing w:before="2600"/>
        <w:jc w:val="center"/>
      </w:pPr>
      <w:r>
        <w:rPr>
          <w:rFonts w:ascii="Calibri" w:cs="Calibri" w:eastAsia="Calibri" w:hAnsi="Calibri"/>
          <w:color w:val="5B5B5B"/>
          <w:sz w:val="22"/>
          <w:szCs w:val="22"/>
        </w:rPr>
        <w:t xml:space="preserve">August 2026</w:t>
      </w:r>
    </w:p>
    <w:p>
      <w:pPr>
        <w:spacing w:before="120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shd w:fill="EAF3EE" w:val="clear"/>
            <w:tcMar>
              <w:top w:type="dxa" w:w="180"/>
              <w:left w:type="dxa" w:w="220"/>
              <w:bottom w:type="dxa" w:w="180"/>
              <w:right w:type="dxa" w:w="220"/>
            </w:tcMar>
          </w:tcPr>
          <w:p>
            <w:pPr>
              <w:spacing w:after="100"/>
            </w:pPr>
            <w:r>
              <w:rPr>
                <w:rFonts w:ascii="Calibri" w:cs="Calibri" w:eastAsia="Calibri" w:hAnsi="Calibri"/>
                <w:b/>
                <w:bCs/>
                <w:color w:val="2E6B4F"/>
                <w:sz w:val="21"/>
                <w:szCs w:val="21"/>
              </w:rPr>
              <w:t xml:space="preserve">Scope of this plan</w:t>
            </w:r>
          </w:p>
          <w:p>
            <w:pPr>
              <w:spacing w:after="60"/>
            </w:pPr>
            <w:r>
              <w:rPr>
                <w:rFonts w:ascii="Calibri" w:cs="Calibri" w:eastAsia="Calibri" w:hAnsi="Calibri"/>
                <w:color w:val="222222"/>
                <w:sz w:val="20"/>
                <w:szCs w:val="20"/>
              </w:rPr>
              <w:t xml:space="preserve">On-device / edge inference and low-latency (ball-to-ball) automated switching are deliberately deferred — not because they don't matter, but because they are not the part of the idea that is actually unproven. Both return as the focus of the next phase, once this MVP has validated the core hypothesis.</w:t>
            </w:r>
          </w:p>
        </w:tc>
      </w:tr>
    </w:tbl>
    <w:p>
      <w:r>
        <w:br w:type="page"/>
      </w:r>
    </w:p>
    <w:p>
      <w:pPr>
        <w:pStyle w:val="Heading1"/>
        <w:pBdr>
          <w:bottom w:val="single" w:color="1F3B57" w:sz="6" w:space="4"/>
        </w:pBdr>
        <w:spacing w:after="200" w:before="400"/>
      </w:pPr>
      <w:r>
        <w:rPr>
          <w:rFonts w:ascii="Calibri" w:cs="Calibri" w:eastAsia="Calibri" w:hAnsi="Calibri"/>
          <w:b/>
          <w:bCs/>
          <w:color w:val="1F3B57"/>
          <w:sz w:val="30"/>
          <w:szCs w:val="30"/>
        </w:rPr>
        <w:t xml:space="preserve">1. Why Scope It This Way</w:t>
      </w:r>
    </w:p>
    <w:p>
      <w:pPr>
        <w:spacing w:after="160" w:line="276"/>
      </w:pPr>
      <w:r>
        <w:rPr>
          <w:rFonts w:ascii="Calibri" w:cs="Calibri" w:eastAsia="Calibri" w:hAnsi="Calibri"/>
          <w:color w:val="222222"/>
          <w:sz w:val="22"/>
          <w:szCs w:val="22"/>
        </w:rPr>
        <w:t xml:space="preserve">The expensive, hard engineering in this idea is embedded compute and fast mechanical actuation. The unproven idea is simpler: can the system reliably tell that a batter has mastered a given delivery style, and pick a genuinely better next one? Those are separable questions, and only the second one needs answering before any hardware investment is justified.</w:t>
      </w:r>
    </w:p>
    <w:p>
      <w:pPr>
        <w:spacing w:after="160" w:line="276"/>
      </w:pPr>
      <w:r>
        <w:rPr>
          <w:rFonts w:ascii="Calibri" w:cs="Calibri" w:eastAsia="Calibri" w:hAnsi="Calibri"/>
          <w:color w:val="222222"/>
          <w:sz w:val="22"/>
          <w:szCs w:val="22"/>
        </w:rPr>
        <w:t xml:space="preserve">This MVP isolates that question by removing both deferred constraints at once through a human-in-the-loop design: a camera and a laptop or cloud pipeline analyse each delivery, a screen shows the operator (a coach) what style is recommended next, and the coach manually dials that style into an existing, off-the-shelf programmable machine — no embedded engineer, no actuator R&amp;D, and no hard latency budget to hit within the ball-to-ball interval. A short processing delay of even 10–20 seconds is acceptable at this stage, since a human is choosing when to release the next ball.</w:t>
      </w:r>
    </w:p>
    <w:p>
      <w:pPr>
        <w:spacing w:after="160" w:line="276"/>
      </w:pPr>
      <w:r>
        <w:rPr>
          <w:rFonts w:ascii="Calibri" w:cs="Calibri" w:eastAsia="Calibri" w:hAnsi="Calibri"/>
          <w:b/>
          <w:bCs/>
          <w:color w:val="1F3B57"/>
          <w:sz w:val="22"/>
          <w:szCs w:val="22"/>
        </w:rPr>
        <w:t xml:space="preserve">The test this MVP runs: </w:t>
      </w:r>
      <w:r>
        <w:rPr>
          <w:rFonts w:ascii="Calibri" w:cs="Calibri" w:eastAsia="Calibri" w:hAnsi="Calibri"/>
          <w:color w:val="222222"/>
          <w:sz w:val="22"/>
          <w:szCs w:val="22"/>
        </w:rPr>
        <w:t xml:space="preserve">does the AI's “switch now, to this style” call agree with what an experienced coach would independently decide, closely enough and often enough to be worth automating later?</w:t>
      </w:r>
    </w:p>
    <w:p>
      <w:pPr>
        <w:pStyle w:val="Heading1"/>
        <w:pBdr>
          <w:bottom w:val="single" w:color="1F3B57" w:sz="6" w:space="4"/>
        </w:pBdr>
        <w:spacing w:after="200" w:before="400"/>
      </w:pPr>
      <w:r>
        <w:rPr>
          <w:rFonts w:ascii="Calibri" w:cs="Calibri" w:eastAsia="Calibri" w:hAnsi="Calibri"/>
          <w:b/>
          <w:bCs/>
          <w:color w:val="1F3B57"/>
          <w:sz w:val="30"/>
          <w:szCs w:val="30"/>
        </w:rPr>
        <w:t xml:space="preserve">2. Explicit Scope</w:t>
      </w:r>
    </w:p>
    <w:p>
      <w:pPr>
        <w:pStyle w:val="Heading2"/>
        <w:spacing w:after="150" w:before="300"/>
      </w:pPr>
      <w:r>
        <w:rPr>
          <w:rFonts w:ascii="Calibri" w:cs="Calibri" w:eastAsia="Calibri" w:hAnsi="Calibri"/>
          <w:b/>
          <w:bCs/>
          <w:color w:val="1F3B57"/>
          <w:sz w:val="24"/>
          <w:szCs w:val="24"/>
        </w:rPr>
        <w:t xml:space="preserve">2.1 In scope for this MVP</w:t>
      </w:r>
    </w:p>
    <w:p>
      <w:pPr>
        <w:pStyle w:val="ListParagraph"/>
        <w:numPr>
          <w:ilvl w:val="0"/>
          <w:numId w:val="2"/>
        </w:numPr>
        <w:spacing w:after="90"/>
      </w:pPr>
      <w:r>
        <w:rPr>
          <w:rFonts w:ascii="Calibri" w:cs="Calibri" w:eastAsia="Calibri" w:hAnsi="Calibri"/>
          <w:color w:val="222222"/>
          <w:sz w:val="22"/>
          <w:szCs w:val="22"/>
        </w:rPr>
        <w:t xml:space="preserve">Computer-vision pipeline: pose estimation, ball tracking, and shot-outcome classification, run offline or with a short processing delay on a laptop or cloud GPU.</w:t>
      </w:r>
    </w:p>
    <w:p>
      <w:pPr>
        <w:pStyle w:val="ListParagraph"/>
        <w:numPr>
          <w:ilvl w:val="0"/>
          <w:numId w:val="2"/>
        </w:numPr>
        <w:spacing w:after="90"/>
      </w:pPr>
      <w:r>
        <w:rPr>
          <w:rFonts w:ascii="Calibri" w:cs="Calibri" w:eastAsia="Calibri" w:hAnsi="Calibri"/>
          <w:color w:val="222222"/>
          <w:sz w:val="22"/>
          <w:szCs w:val="22"/>
        </w:rPr>
        <w:t xml:space="preserve">Per-style “mastery scoring”: a rolling, rule-based score of how well the batter is currently handling each bowling style faced.</w:t>
      </w:r>
    </w:p>
    <w:p>
      <w:pPr>
        <w:pStyle w:val="ListParagraph"/>
        <w:numPr>
          <w:ilvl w:val="0"/>
          <w:numId w:val="2"/>
        </w:numPr>
        <w:spacing w:after="90"/>
      </w:pPr>
      <w:r>
        <w:rPr>
          <w:rFonts w:ascii="Calibri" w:cs="Calibri" w:eastAsia="Calibri" w:hAnsi="Calibri"/>
          <w:color w:val="222222"/>
          <w:sz w:val="22"/>
          <w:szCs w:val="22"/>
        </w:rPr>
        <w:t xml:space="preserve">A recommendation engine: when a style's mastery score crosses a threshold, the system displays a recommended next style to the operator, chosen for maximum contrast with the mastered one.</w:t>
      </w:r>
    </w:p>
    <w:p>
      <w:pPr>
        <w:pStyle w:val="ListParagraph"/>
        <w:numPr>
          <w:ilvl w:val="0"/>
          <w:numId w:val="2"/>
        </w:numPr>
        <w:spacing w:after="90"/>
      </w:pPr>
      <w:r>
        <w:rPr>
          <w:rFonts w:ascii="Calibri" w:cs="Calibri" w:eastAsia="Calibri" w:hAnsi="Calibri"/>
          <w:color w:val="222222"/>
          <w:sz w:val="22"/>
          <w:szCs w:val="22"/>
        </w:rPr>
        <w:t xml:space="preserve">A human-operated delivery step: the coach reads the recommendation and manually sets it on an existing programmable machine (e.g. a BOLA Professional).</w:t>
      </w:r>
    </w:p>
    <w:p>
      <w:pPr>
        <w:pStyle w:val="ListParagraph"/>
        <w:numPr>
          <w:ilvl w:val="0"/>
          <w:numId w:val="2"/>
        </w:numPr>
        <w:spacing w:after="90"/>
      </w:pPr>
      <w:r>
        <w:rPr>
          <w:rFonts w:ascii="Calibri" w:cs="Calibri" w:eastAsia="Calibri" w:hAnsi="Calibri"/>
          <w:color w:val="222222"/>
          <w:sz w:val="22"/>
          <w:szCs w:val="22"/>
        </w:rPr>
        <w:t xml:space="preserve">Data logging and a validation protocol comparing the AI's calls against an independent coach's judgement.</w:t>
      </w:r>
    </w:p>
    <w:p>
      <w:pPr>
        <w:pStyle w:val="Heading2"/>
        <w:spacing w:after="150" w:before="300"/>
      </w:pPr>
      <w:r>
        <w:rPr>
          <w:rFonts w:ascii="Calibri" w:cs="Calibri" w:eastAsia="Calibri" w:hAnsi="Calibri"/>
          <w:b/>
          <w:bCs/>
          <w:color w:val="1F3B57"/>
          <w:sz w:val="24"/>
          <w:szCs w:val="24"/>
        </w:rPr>
        <w:t xml:space="preserve">2.2 Explicitly deferred</w:t>
      </w:r>
    </w:p>
    <w:p>
      <w:pPr>
        <w:pStyle w:val="ListParagraph"/>
        <w:numPr>
          <w:ilvl w:val="0"/>
          <w:numId w:val="2"/>
        </w:numPr>
        <w:spacing w:after="90"/>
      </w:pPr>
      <w:r>
        <w:rPr>
          <w:rFonts w:ascii="Calibri" w:cs="Calibri" w:eastAsia="Calibri" w:hAnsi="Calibri"/>
          <w:color w:val="222222"/>
          <w:sz w:val="22"/>
          <w:szCs w:val="22"/>
        </w:rPr>
        <w:t xml:space="preserve">On-device / edge inference — the CV and scoring pipeline stays on a laptop or in the cloud for now; embedding it on the machine is a Phase 2 hardware problem.</w:t>
      </w:r>
    </w:p>
    <w:p>
      <w:pPr>
        <w:pStyle w:val="ListParagraph"/>
        <w:numPr>
          <w:ilvl w:val="0"/>
          <w:numId w:val="2"/>
        </w:numPr>
        <w:spacing w:after="90"/>
      </w:pPr>
      <w:r>
        <w:rPr>
          <w:rFonts w:ascii="Calibri" w:cs="Calibri" w:eastAsia="Calibri" w:hAnsi="Calibri"/>
          <w:color w:val="222222"/>
          <w:sz w:val="22"/>
          <w:szCs w:val="22"/>
        </w:rPr>
        <w:t xml:space="preserve">Low-latency automated switching — the machine is not driven directly by the AI yet; a human closes that gap, so no actuator engineering or ball-to-ball timing budget is needed.</w:t>
      </w:r>
    </w:p>
    <w:p>
      <w:pPr>
        <w:pStyle w:val="ListParagraph"/>
        <w:numPr>
          <w:ilvl w:val="0"/>
          <w:numId w:val="2"/>
        </w:numPr>
        <w:spacing w:after="90"/>
      </w:pPr>
      <w:r>
        <w:rPr>
          <w:rFonts w:ascii="Calibri" w:cs="Calibri" w:eastAsia="Calibri" w:hAnsi="Calibri"/>
          <w:color w:val="222222"/>
          <w:sz w:val="22"/>
          <w:szCs w:val="22"/>
        </w:rPr>
        <w:t xml:space="preserve">Reinforcement-learning policy — the MVP uses simple, explainable rule-based thresholds; a learned policy is worth building only once there is real session data to learn from.</w:t>
      </w:r>
    </w:p>
    <w:p>
      <w:pPr>
        <w:pStyle w:val="Heading1"/>
        <w:pBdr>
          <w:bottom w:val="single" w:color="1F3B57" w:sz="6" w:space="4"/>
        </w:pBdr>
        <w:spacing w:after="200" w:before="400"/>
      </w:pPr>
      <w:r>
        <w:rPr>
          <w:rFonts w:ascii="Calibri" w:cs="Calibri" w:eastAsia="Calibri" w:hAnsi="Calibri"/>
          <w:b/>
          <w:bCs/>
          <w:color w:val="1F3B57"/>
          <w:sz w:val="30"/>
          <w:szCs w:val="30"/>
        </w:rPr>
        <w:t xml:space="preserve">3. System Design for This MVP</w:t>
      </w:r>
    </w:p>
    <w:p>
      <w:pPr>
        <w:spacing w:after="120" w:before="120"/>
        <w:jc w:val="center"/>
      </w:pPr>
      <w:r>
        <w:rPr>
          <w:rFonts w:ascii="Calibri" w:cs="Calibri" w:eastAsia="Calibri" w:hAnsi="Calibri"/>
          <w:b/>
          <w:bCs/>
          <w:color w:val="1F3B57"/>
          <w:sz w:val="22"/>
          <w:szCs w:val="22"/>
        </w:rPr>
        <w:t xml:space="preserve">CAMERA  →  CV PIPELINE (laptop/cloud)  →  MASTERY SCORE  →  RECOMMENDATION SCREEN  →  COACH SETS THE MACHINE</w:t>
      </w:r>
    </w:p>
    <w:p>
      <w:pPr>
        <w:pStyle w:val="ListParagraph"/>
        <w:numPr>
          <w:ilvl w:val="0"/>
          <w:numId w:val="2"/>
        </w:numPr>
        <w:spacing w:after="90"/>
      </w:pPr>
      <w:r>
        <w:rPr>
          <w:rFonts w:ascii="Calibri" w:cs="Calibri" w:eastAsia="Calibri" w:hAnsi="Calibri"/>
          <w:color w:val="222222"/>
          <w:sz w:val="22"/>
          <w:szCs w:val="22"/>
        </w:rPr>
        <w:t xml:space="preserve">Hardware needed: one or two standard cameras (even a phone or action camera is enough at this stage), a laptop or a cloud GPU instance, and one existing programmable bowling machine borrowed or rented from a partner net or academy.</w:t>
      </w:r>
    </w:p>
    <w:p>
      <w:pPr>
        <w:pStyle w:val="ListParagraph"/>
        <w:numPr>
          <w:ilvl w:val="0"/>
          <w:numId w:val="2"/>
        </w:numPr>
        <w:spacing w:after="90"/>
      </w:pPr>
      <w:r>
        <w:rPr>
          <w:rFonts w:ascii="Calibri" w:cs="Calibri" w:eastAsia="Calibri" w:hAnsi="Calibri"/>
          <w:color w:val="222222"/>
          <w:sz w:val="22"/>
          <w:szCs w:val="22"/>
        </w:rPr>
        <w:t xml:space="preserve">Software needed: an off-the-shelf pose-estimation model (e.g. a pretrained human-pose model) fine-tuned or filtered for batting stance and footwork; a simple ball-tracking model; a rule-based scoring and recommendation script; a basic on-screen display for the operator.</w:t>
      </w:r>
    </w:p>
    <w:p>
      <w:pPr>
        <w:pStyle w:val="ListParagraph"/>
        <w:numPr>
          <w:ilvl w:val="0"/>
          <w:numId w:val="2"/>
        </w:numPr>
        <w:spacing w:after="90"/>
      </w:pPr>
      <w:r>
        <w:rPr>
          <w:rFonts w:ascii="Calibri" w:cs="Calibri" w:eastAsia="Calibri" w:hAnsi="Calibri"/>
          <w:color w:val="222222"/>
          <w:sz w:val="22"/>
          <w:szCs w:val="22"/>
        </w:rPr>
        <w:t xml:space="preserve">No custom mechanical work, no embedded firmware, and no radar/Doppler sensor are required for this phase.</w:t>
      </w:r>
    </w:p>
    <w:p>
      <w:pPr>
        <w:pStyle w:val="Heading1"/>
        <w:pBdr>
          <w:bottom w:val="single" w:color="1F3B57" w:sz="6" w:space="4"/>
        </w:pBdr>
        <w:spacing w:after="200" w:before="400"/>
      </w:pPr>
      <w:r>
        <w:rPr>
          <w:rFonts w:ascii="Calibri" w:cs="Calibri" w:eastAsia="Calibri" w:hAnsi="Calibri"/>
          <w:b/>
          <w:bCs/>
          <w:color w:val="1F3B57"/>
          <w:sz w:val="30"/>
          <w:szCs w:val="30"/>
        </w:rPr>
        <w:t xml:space="preserve">4. R&amp;D Workstreams &amp; Milestones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200"/>
      </w:tblGrid>
      <w:tr>
        <w:trPr>
          <w:tblHeader/>
        </w:trPr>
        <w:tc>
          <w:tcPr>
            <w:tcW w:type="dxa" w:w="17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Weeks</w:t>
            </w:r>
          </w:p>
        </w:tc>
        <w:tc>
          <w:tcPr>
            <w:tcW w:type="dxa" w:w="32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Workstream</w:t>
            </w:r>
          </w:p>
        </w:tc>
        <w:tc>
          <w:tcPr>
            <w:tcW w:type="dxa" w:w="42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Milestone</w:t>
            </w:r>
          </w:p>
        </w:tc>
      </w:tr>
      <w:tr>
        <w:tc>
          <w:tcPr>
            <w:tcW w:type="dxa" w:w="17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1–2</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Set up capture rig and data pipeline</w:t>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Recorded footage of real net sessions with at least two camera angles; footage pipeline running end to end.</w:t>
            </w:r>
          </w:p>
        </w:tc>
      </w:tr>
      <w:tr>
        <w:tc>
          <w:tcPr>
            <w:tcW w:type="dxa" w:w="17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2–4</w:t>
            </w:r>
          </w:p>
        </w:tc>
        <w:tc>
          <w:tcPr>
            <w:tcW w:type="dxa" w:w="32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Pose &amp; ball tracking</w:t>
            </w:r>
          </w:p>
        </w:tc>
        <w:tc>
          <w:tcPr>
            <w:tcW w:type="dxa" w:w="42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CV pipeline reliably tracks stance, footwork and ball trajectory on recorded footage, validated by eye against known outcomes.</w:t>
            </w:r>
          </w:p>
        </w:tc>
      </w:tr>
      <w:tr>
        <w:tc>
          <w:tcPr>
            <w:tcW w:type="dxa" w:w="17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3–5</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Shot-outcome classification</w:t>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Model classifies each delivery's outcome (middled, edged, missed, defended, attacked) with accuracy validated against a coach's manual review.</w:t>
            </w:r>
          </w:p>
        </w:tc>
      </w:tr>
      <w:tr>
        <w:tc>
          <w:tcPr>
            <w:tcW w:type="dxa" w:w="17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5–6</w:t>
            </w:r>
          </w:p>
        </w:tc>
        <w:tc>
          <w:tcPr>
            <w:tcW w:type="dxa" w:w="32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Mastery scoring &amp; thresholds</w:t>
            </w:r>
          </w:p>
        </w:tc>
        <w:tc>
          <w:tcPr>
            <w:tcW w:type="dxa" w:w="42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Rolling per-style score implemented; thresholds for “mastered” set and sanity-checked with a coaching advisor.</w:t>
            </w:r>
          </w:p>
        </w:tc>
      </w:tr>
      <w:tr>
        <w:tc>
          <w:tcPr>
            <w:tcW w:type="dxa" w:w="17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6–7</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Recommendation engine</w:t>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System proposes a next style on a simple screen, using the “maximum contrast” rule against the mastered style.</w:t>
            </w:r>
          </w:p>
        </w:tc>
      </w:tr>
      <w:tr>
        <w:tc>
          <w:tcPr>
            <w:tcW w:type="dxa" w:w="17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7–9</w:t>
            </w:r>
          </w:p>
        </w:tc>
        <w:tc>
          <w:tcPr>
            <w:tcW w:type="dxa" w:w="32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Human-in-the-loop live trial</w:t>
            </w:r>
          </w:p>
        </w:tc>
        <w:tc>
          <w:tcPr>
            <w:tcW w:type="dxa" w:w="42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Live net sessions where a coach follows the AI's recommendations on an existing machine; sessions logged for review.</w:t>
            </w:r>
          </w:p>
        </w:tc>
      </w:tr>
      <w:tr>
        <w:tc>
          <w:tcPr>
            <w:tcW w:type="dxa" w:w="17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9–10</w:t>
            </w:r>
          </w:p>
        </w:tc>
        <w:tc>
          <w:tcPr>
            <w:tcW w:type="dxa" w:w="3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Validation &amp; write-up</w:t>
            </w:r>
          </w:p>
        </w:tc>
        <w:tc>
          <w:tcPr>
            <w:tcW w:type="dxa" w:w="4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AI recommendations compared against an independent coach's blind calls on the same sessions; results documented.</w:t>
            </w:r>
          </w:p>
        </w:tc>
      </w:tr>
    </w:tbl>
    <w:p>
      <w:pPr>
        <w:pStyle w:val="Heading1"/>
        <w:pBdr>
          <w:bottom w:val="single" w:color="1F3B57" w:sz="6" w:space="4"/>
        </w:pBdr>
        <w:spacing w:after="200" w:before="400"/>
      </w:pPr>
      <w:r>
        <w:rPr>
          <w:rFonts w:ascii="Calibri" w:cs="Calibri" w:eastAsia="Calibri" w:hAnsi="Calibri"/>
          <w:b/>
          <w:bCs/>
          <w:color w:val="1F3B57"/>
          <w:sz w:val="30"/>
          <w:szCs w:val="30"/>
        </w:rPr>
        <w:t xml:space="preserve">5. Success Criteria</w:t>
      </w:r>
    </w:p>
    <w:p>
      <w:pPr>
        <w:pStyle w:val="ListParagraph"/>
        <w:numPr>
          <w:ilvl w:val="0"/>
          <w:numId w:val="2"/>
        </w:numPr>
        <w:spacing w:after="90"/>
      </w:pPr>
      <w:r>
        <w:rPr>
          <w:rFonts w:ascii="Calibri" w:cs="Calibri" w:eastAsia="Calibri" w:hAnsi="Calibri"/>
          <w:color w:val="222222"/>
          <w:sz w:val="22"/>
          <w:szCs w:val="22"/>
        </w:rPr>
        <w:t xml:space="preserve">Agreement rate: the AI's “switch now” call matches an independent coach's call on when a style has been mastered, on a meaningful majority of tracked deliveries.</w:t>
      </w:r>
    </w:p>
    <w:p>
      <w:pPr>
        <w:pStyle w:val="ListParagraph"/>
        <w:numPr>
          <w:ilvl w:val="0"/>
          <w:numId w:val="2"/>
        </w:numPr>
        <w:spacing w:after="90"/>
      </w:pPr>
      <w:r>
        <w:rPr>
          <w:rFonts w:ascii="Calibri" w:cs="Calibri" w:eastAsia="Calibri" w:hAnsi="Calibri"/>
          <w:color w:val="222222"/>
          <w:sz w:val="22"/>
          <w:szCs w:val="22"/>
        </w:rPr>
        <w:t xml:space="preserve">Style choice quality: when a switch is called, the coach judges the recommended next style as a sensible, contrasting choice, not an arbitrary one.</w:t>
      </w:r>
    </w:p>
    <w:p>
      <w:pPr>
        <w:pStyle w:val="ListParagraph"/>
        <w:numPr>
          <w:ilvl w:val="0"/>
          <w:numId w:val="2"/>
        </w:numPr>
        <w:spacing w:after="90"/>
      </w:pPr>
      <w:r>
        <w:rPr>
          <w:rFonts w:ascii="Calibri" w:cs="Calibri" w:eastAsia="Calibri" w:hAnsi="Calibri"/>
          <w:color w:val="222222"/>
          <w:sz w:val="22"/>
          <w:szCs w:val="22"/>
        </w:rPr>
        <w:t xml:space="preserve">Usability: an operator with no ML background can run a session from the recommendation screen without confusion.</w:t>
      </w:r>
    </w:p>
    <w:p>
      <w:pPr>
        <w:pStyle w:val="ListParagraph"/>
        <w:numPr>
          <w:ilvl w:val="0"/>
          <w:numId w:val="2"/>
        </w:numPr>
        <w:spacing w:after="90"/>
      </w:pPr>
      <w:r>
        <w:rPr>
          <w:rFonts w:ascii="Calibri" w:cs="Calibri" w:eastAsia="Calibri" w:hAnsi="Calibri"/>
          <w:color w:val="222222"/>
          <w:sz w:val="22"/>
          <w:szCs w:val="22"/>
        </w:rPr>
        <w:t xml:space="preserve">A clear miss list: cases where the system's call was wrong are captured and categorised, since these directly shape what Phase 2 needs to fix before automating.</w:t>
      </w:r>
    </w:p>
    <w:p>
      <w:pPr>
        <w:pStyle w:val="Heading1"/>
        <w:pBdr>
          <w:bottom w:val="single" w:color="1F3B57" w:sz="6" w:space="4"/>
        </w:pBdr>
        <w:spacing w:after="200" w:before="400"/>
      </w:pPr>
      <w:r>
        <w:rPr>
          <w:rFonts w:ascii="Calibri" w:cs="Calibri" w:eastAsia="Calibri" w:hAnsi="Calibri"/>
          <w:b/>
          <w:bCs/>
          <w:color w:val="1F3B57"/>
          <w:sz w:val="30"/>
          <w:szCs w:val="30"/>
        </w:rPr>
        <w:t xml:space="preserve">6. Team &amp; Resources (Lean)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1600"/>
      </w:tblGrid>
      <w:tr>
        <w:trPr>
          <w:tblHeader/>
        </w:trPr>
        <w:tc>
          <w:tcPr>
            <w:tcW w:type="dxa" w:w="28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Role</w:t>
            </w:r>
          </w:p>
        </w:tc>
        <w:tc>
          <w:tcPr>
            <w:tcW w:type="dxa" w:w="47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Responsibility</w:t>
            </w:r>
          </w:p>
        </w:tc>
        <w:tc>
          <w:tcPr>
            <w:tcW w:type="dxa" w:w="16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Commitment</w:t>
            </w:r>
          </w:p>
        </w:tc>
      </w:tr>
      <w:tr>
        <w:tc>
          <w:tcPr>
            <w:tcW w:type="dxa" w:w="28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Computer vision / ML engineer</w:t>
            </w:r>
          </w:p>
        </w:tc>
        <w:tc>
          <w:tcPr>
            <w:tcW w:type="dxa" w:w="47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Builds the pose/ball tracking, scoring and recommendation pipeline.</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Full-time</w:t>
            </w:r>
          </w:p>
        </w:tc>
      </w:tr>
      <w:tr>
        <w:tc>
          <w:tcPr>
            <w:tcW w:type="dxa" w:w="28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Cricket coaching advisor</w:t>
            </w:r>
          </w:p>
        </w:tc>
        <w:tc>
          <w:tcPr>
            <w:tcW w:type="dxa" w:w="47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Defines mastery thresholds, runs live sessions, provides the independent judgement the AI is validated against.</w:t>
            </w:r>
          </w:p>
        </w:tc>
        <w:tc>
          <w:tcPr>
            <w:tcW w:type="dxa" w:w="16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Part-time</w:t>
            </w:r>
          </w:p>
        </w:tc>
      </w:tr>
      <w:tr>
        <w:tc>
          <w:tcPr>
            <w:tcW w:type="dxa" w:w="28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Project lead (you)</w:t>
            </w:r>
          </w:p>
        </w:tc>
        <w:tc>
          <w:tcPr>
            <w:tcW w:type="dxa" w:w="47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Coordinates the trial, owns the validation write-up, decides go/no-go into Phase 2.</w:t>
            </w:r>
          </w:p>
        </w:tc>
        <w:tc>
          <w:tcPr>
            <w:tcW w:type="dxa" w:w="1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Part-time / full-time</w:t>
            </w:r>
          </w:p>
        </w:tc>
      </w:tr>
    </w:tbl>
    <w:p>
      <w:pPr>
        <w:spacing w:after="160" w:line="276"/>
      </w:pPr>
      <w:r>
        <w:rPr>
          <w:rFonts w:ascii="Calibri" w:cs="Calibri" w:eastAsia="Calibri" w:hAnsi="Calibri"/>
          <w:color w:val="222222"/>
          <w:sz w:val="22"/>
          <w:szCs w:val="22"/>
        </w:rPr>
        <w:t xml:space="preserve">Notably absent from this list, on purpose: an embedded/robotics engineer and a mechanical engineer — both rejoin the plan in Phase 2, once this MVP has either validated or usefully falsified the core hypothesis.</w:t>
      </w:r>
    </w:p>
    <w:p>
      <w:pPr>
        <w:pStyle w:val="Heading1"/>
        <w:pBdr>
          <w:bottom w:val="single" w:color="1F3B57" w:sz="6" w:space="4"/>
        </w:pBdr>
        <w:spacing w:after="200" w:before="400"/>
      </w:pPr>
      <w:r>
        <w:rPr>
          <w:rFonts w:ascii="Calibri" w:cs="Calibri" w:eastAsia="Calibri" w:hAnsi="Calibri"/>
          <w:b/>
          <w:bCs/>
          <w:color w:val="1F3B57"/>
          <w:sz w:val="30"/>
          <w:szCs w:val="30"/>
        </w:rPr>
        <w:t xml:space="preserve">7. Timeline &amp; Budget Snapshot</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shd w:fill="FBEAEA" w:val="clear"/>
            <w:tcMar>
              <w:top w:type="dxa" w:w="180"/>
              <w:left w:type="dxa" w:w="220"/>
              <w:bottom w:type="dxa" w:w="180"/>
              <w:right w:type="dxa" w:w="220"/>
            </w:tcMar>
          </w:tcPr>
          <w:p>
            <w:pPr>
              <w:spacing w:after="100"/>
            </w:pPr>
            <w:r>
              <w:rPr>
                <w:rFonts w:ascii="Calibri" w:cs="Calibri" w:eastAsia="Calibri" w:hAnsi="Calibri"/>
                <w:b/>
                <w:bCs/>
                <w:color w:val="C0392B"/>
                <w:sz w:val="21"/>
                <w:szCs w:val="21"/>
              </w:rPr>
              <w:t xml:space="preserve">Illustrative only</w:t>
            </w:r>
          </w:p>
          <w:p>
            <w:pPr>
              <w:spacing w:after="60"/>
            </w:pPr>
            <w:r>
              <w:rPr>
                <w:rFonts w:ascii="Calibri" w:cs="Calibri" w:eastAsia="Calibri" w:hAnsi="Calibri"/>
                <w:color w:val="222222"/>
                <w:sz w:val="20"/>
                <w:szCs w:val="20"/>
              </w:rPr>
              <w:t xml:space="preserve">Replace with real quotes once a cloud/compute provider and a partner net or academy are confirmed.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Item</w:t>
            </w:r>
          </w:p>
        </w:tc>
        <w:tc>
          <w:tcPr>
            <w:tcW w:type="dxa" w:w="22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Illustrative cost</w:t>
            </w:r>
          </w:p>
        </w:tc>
        <w:tc>
          <w:tcPr>
            <w:tcW w:type="dxa" w:w="2200"/>
            <w:shd w:fill="1F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Notes</w:t>
            </w:r>
          </w:p>
        </w:tc>
      </w:tr>
      <w:tr>
        <w:tc>
          <w:tcPr>
            <w:tcW w:type="dxa" w:w="4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ML/CV engineering (10 weeks)</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Main cost driver</w:t>
            </w:r>
          </w:p>
        </w:tc>
      </w:tr>
      <w:tr>
        <w:tc>
          <w:tcPr>
            <w:tcW w:type="dxa" w:w="46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Cameras &amp; capture equipment</w:t>
            </w:r>
          </w:p>
        </w:tc>
        <w:tc>
          <w:tcPr>
            <w:tcW w:type="dxa" w:w="22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w:t>
            </w:r>
          </w:p>
        </w:tc>
        <w:tc>
          <w:tcPr>
            <w:tcW w:type="dxa" w:w="22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Standard consumer-grade is sufficient</w:t>
            </w:r>
          </w:p>
        </w:tc>
      </w:tr>
      <w:tr>
        <w:tc>
          <w:tcPr>
            <w:tcW w:type="dxa" w:w="4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Cloud GPU / compute</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Short-term rental, not embedded hardware</w:t>
            </w:r>
          </w:p>
        </w:tc>
      </w:tr>
      <w:tr>
        <w:tc>
          <w:tcPr>
            <w:tcW w:type="dxa" w:w="46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Machine + net access for trials</w:t>
            </w:r>
          </w:p>
        </w:tc>
        <w:tc>
          <w:tcPr>
            <w:tcW w:type="dxa" w:w="22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w:t>
            </w:r>
          </w:p>
        </w:tc>
        <w:tc>
          <w:tcPr>
            <w:tcW w:type="dxa" w:w="2200"/>
            <w:shd w:fill="EEF2F5" w:val="clear"/>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Rental or partner-academy access</w:t>
            </w:r>
          </w:p>
        </w:tc>
      </w:tr>
      <w:tr>
        <w:tc>
          <w:tcPr>
            <w:tcW w:type="dxa" w:w="46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Coaching advisor time</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 ]</w:t>
            </w:r>
          </w:p>
        </w:tc>
        <w:tc>
          <w:tcPr>
            <w:tcW w:type="dxa" w:w="2200"/>
            <w:tcMar>
              <w:top w:type="dxa" w:w="100"/>
              <w:left w:type="dxa" w:w="120"/>
              <w:bottom w:type="dxa" w:w="100"/>
              <w:right w:type="dxa" w:w="120"/>
            </w:tcMar>
            <w:vAlign w:val="center"/>
          </w:tcPr>
          <w:p>
            <w:r>
              <w:rPr>
                <w:rFonts w:ascii="Calibri" w:cs="Calibri" w:eastAsia="Calibri" w:hAnsi="Calibri"/>
                <w:b w:val="false"/>
                <w:bCs w:val="false"/>
                <w:color w:val="222222"/>
                <w:sz w:val="20"/>
                <w:szCs w:val="20"/>
              </w:rPr>
              <w:t xml:space="preserve">Part-time across weeks 5–10</w:t>
            </w:r>
          </w:p>
        </w:tc>
      </w:tr>
    </w:tbl>
    <w:p>
      <w:pPr>
        <w:spacing w:after="160" w:line="276"/>
      </w:pPr>
      <w:r>
        <w:rPr>
          <w:rFonts w:ascii="Calibri" w:cs="Calibri" w:eastAsia="Calibri" w:hAnsi="Calibri"/>
          <w:color w:val="222222"/>
          <w:sz w:val="22"/>
          <w:szCs w:val="22"/>
        </w:rPr>
        <w:t xml:space="preserve">Total elapsed time: roughly 10 weeks, materially shorter than the full Phase 1–2 estimate in the original program plan, because no mechanical or embedded-systems work sits on the critical path.</w:t>
      </w:r>
    </w:p>
    <w:p>
      <w:pPr>
        <w:pStyle w:val="Heading1"/>
        <w:pBdr>
          <w:bottom w:val="single" w:color="1F3B57" w:sz="6" w:space="4"/>
        </w:pBdr>
        <w:spacing w:after="200" w:before="400"/>
      </w:pPr>
      <w:r>
        <w:rPr>
          <w:rFonts w:ascii="Calibri" w:cs="Calibri" w:eastAsia="Calibri" w:hAnsi="Calibri"/>
          <w:b/>
          <w:bCs/>
          <w:color w:val="1F3B57"/>
          <w:sz w:val="30"/>
          <w:szCs w:val="30"/>
        </w:rPr>
        <w:t xml:space="preserve">8. What Comes Back Once This MVP Succeeds</w:t>
      </w:r>
    </w:p>
    <w:p>
      <w:pPr>
        <w:spacing w:after="160" w:line="276"/>
      </w:pPr>
      <w:r>
        <w:rPr>
          <w:rFonts w:ascii="Calibri" w:cs="Calibri" w:eastAsia="Calibri" w:hAnsi="Calibri"/>
          <w:color w:val="222222"/>
          <w:sz w:val="22"/>
          <w:szCs w:val="22"/>
        </w:rPr>
        <w:t xml:space="preserve">A successful result here is the go signal for the harder, deferred work — not a finished product. Phase 2 onward reintroduces exactly the two constraints set aside here:</w:t>
      </w:r>
    </w:p>
    <w:p>
      <w:pPr>
        <w:pStyle w:val="ListParagraph"/>
        <w:numPr>
          <w:ilvl w:val="0"/>
          <w:numId w:val="2"/>
        </w:numPr>
        <w:spacing w:after="90"/>
      </w:pPr>
      <w:r>
        <w:rPr>
          <w:rFonts w:ascii="Calibri" w:cs="Calibri" w:eastAsia="Calibri" w:hAnsi="Calibri"/>
          <w:color w:val="222222"/>
          <w:sz w:val="22"/>
          <w:szCs w:val="22"/>
        </w:rPr>
        <w:t xml:space="preserve">On-device inference: porting the validated CV and scoring pipeline onto an embedded GPU/NPU unit that can run on the machine itself.</w:t>
      </w:r>
    </w:p>
    <w:p>
      <w:pPr>
        <w:pStyle w:val="ListParagraph"/>
        <w:numPr>
          <w:ilvl w:val="0"/>
          <w:numId w:val="2"/>
        </w:numPr>
        <w:spacing w:after="90"/>
      </w:pPr>
      <w:r>
        <w:rPr>
          <w:rFonts w:ascii="Calibri" w:cs="Calibri" w:eastAsia="Calibri" w:hAnsi="Calibri"/>
          <w:color w:val="222222"/>
          <w:sz w:val="22"/>
          <w:szCs w:val="22"/>
        </w:rPr>
        <w:t xml:space="preserve">Low-latency automated switching: engineering or partnering on a delivery head that can execute a style change within the existing ball-to-ball interval, and replacing the human operator with direct machine control.</w:t>
      </w:r>
    </w:p>
    <w:p>
      <w:pPr>
        <w:spacing w:after="160" w:line="276"/>
      </w:pPr>
      <w:r>
        <w:rPr>
          <w:rFonts w:ascii="Calibri" w:cs="Calibri" w:eastAsia="Calibri" w:hAnsi="Calibri"/>
          <w:color w:val="222222"/>
          <w:sz w:val="22"/>
          <w:szCs w:val="22"/>
        </w:rPr>
        <w:t xml:space="preserve">Framed this way, the deferred items aren't being ignored — they're being sequenced to come after the question they'd be expensive to answer for is already settled.</w:t>
      </w:r>
    </w:p>
    <w:p>
      <w:pPr>
        <w:pStyle w:val="Heading1"/>
        <w:pBdr>
          <w:bottom w:val="single" w:color="1F3B57" w:sz="6" w:space="4"/>
        </w:pBdr>
        <w:spacing w:after="200" w:before="400"/>
      </w:pPr>
      <w:r>
        <w:rPr>
          <w:rFonts w:ascii="Calibri" w:cs="Calibri" w:eastAsia="Calibri" w:hAnsi="Calibri"/>
          <w:b/>
          <w:bCs/>
          <w:color w:val="1F3B57"/>
          <w:sz w:val="30"/>
          <w:szCs w:val="30"/>
        </w:rPr>
        <w:t xml:space="preserve">9. Conclusion</w:t>
      </w:r>
    </w:p>
    <w:p>
      <w:pPr>
        <w:spacing w:after="160" w:line="276"/>
      </w:pPr>
      <w:r>
        <w:rPr>
          <w:rFonts w:ascii="Calibri" w:cs="Calibri" w:eastAsia="Calibri" w:hAnsi="Calibri"/>
          <w:b/>
          <w:bCs/>
          <w:color w:val="1F3B57"/>
          <w:sz w:val="22"/>
          <w:szCs w:val="22"/>
        </w:rPr>
        <w:t xml:space="preserve">Bottom line: </w:t>
      </w:r>
      <w:r>
        <w:rPr>
          <w:rFonts w:ascii="Calibri" w:cs="Calibri" w:eastAsia="Calibri" w:hAnsi="Calibri"/>
          <w:color w:val="222222"/>
          <w:sz w:val="22"/>
          <w:szCs w:val="22"/>
        </w:rPr>
        <w:t xml:space="preserve">this MVP spends roughly ten weeks and one engineer to find out, cheaply, whether the core idea works at all — before a single pound goes into embedded hardware or actuator engineering. If the recommendation logic doesn't hold up against a coach's own judgement even with a human in the loop, that's the cheapest possible place to learn it.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6"/>
        <w:szCs w:val="16"/>
      </w:rPr>
      <w:t xml:space="preserve">Page </w:t>
    </w:r>
    <w:r>
      <w:rPr>
        <w:rFonts w:ascii="Calibri" w:cs="Calibri" w:eastAsia="Calibri" w:hAnsi="Calibri"/>
        <w:color w:val="5B5B5B"/>
        <w:sz w:val="16"/>
        <w:szCs w:val="16"/>
      </w:rPr>
      <w:fldChar w:fldCharType="begin"/>
      <w:instrText xml:space="preserve">PAGE</w:instrText>
      <w:fldChar w:fldCharType="separate"/>
      <w:fldChar w:fldCharType="end"/>
    </w:r>
    <w:r>
      <w:rPr>
        <w:rFonts w:ascii="Calibri" w:cs="Calibri" w:eastAsia="Calibri" w:hAnsi="Calibri"/>
        <w:color w:val="5B5B5B"/>
        <w:sz w:val="16"/>
        <w:szCs w:val="16"/>
      </w:rPr>
      <w:t xml:space="preserve"> of </w:t>
    </w:r>
    <w:r>
      <w:rPr>
        <w:rFonts w:ascii="Calibri" w:cs="Calibri" w:eastAsia="Calibri" w:hAnsi="Calibri"/>
        <w:color w:val="5B5B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5B5B"/>
        <w:sz w:val="16"/>
        <w:szCs w:val="16"/>
      </w:rPr>
      <w:t xml:space="preserve">AI-Adaptive Bowling Machine — MVP R&amp;D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2026-08-26T01:19:37.648Z</dcterms:created>
  <dcterms:modified xsi:type="dcterms:W3CDTF">2026-08-26T01:19:37.662Z</dcterms:modified>
</cp:coreProperties>
</file>

<file path=docProps/custom.xml><?xml version="1.0" encoding="utf-8"?>
<Properties xmlns="http://schemas.openxmlformats.org/officeDocument/2006/custom-properties" xmlns:vt="http://schemas.openxmlformats.org/officeDocument/2006/docPropsVTypes"/>
</file>