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Practical Navigation System for Enhanced Situational Awareness Using Decision-Level LiDAR-Camera Fusion</w:t>
      </w:r>
    </w:p>
    <w:p>
      <w:pPr>
        <w:spacing w:after="40"/>
      </w:pPr>
      <w:r>
        <w:rPr>
          <w:rFonts w:ascii="Times New Roman" w:hAnsi="Times New Roman"/>
          <w:b/>
          <w:sz w:val="22"/>
        </w:rPr>
        <w:t>Yousef A Y Alhattab</w:t>
      </w:r>
    </w:p>
    <w:p>
      <w:pPr>
        <w:spacing w:after="120"/>
      </w:pPr>
      <w:r>
        <w:rPr>
          <w:rFonts w:ascii="Times New Roman" w:hAnsi="Times New Roman"/>
          <w:i/>
          <w:sz w:val="22"/>
        </w:rPr>
        <w:t>Kulliyyah of Engineering, International Islamic University Malaysia</w:t>
      </w:r>
    </w:p>
    <w:p>
      <w:pPr>
        <w:pStyle w:val="Heading2"/>
      </w:pPr>
      <w:r>
        <w:t>Introduction</w:t>
      </w:r>
    </w:p>
    <w:p>
      <w:r>
        <w:rPr>
          <w:rFonts w:ascii="Times New Roman" w:hAnsi="Times New Roman"/>
          <w:sz w:val="22"/>
        </w:rPr>
        <w:t>The capacity of an Unmanned Surface Vehicle (USV) to operate safely in a congested maritime environment is ultimately contingent on its ability to perceive, interpret, and respond to its surroundings in real time. This perceptual capability — commonly framed under the concept of Situational Awareness (SA) — involves three hierarchical processes: the detection of objects and environmental features (perception), the assignment of navigational significance to those detections (comprehension), and the anticipation of future states to enable pre-emptive action (projection) (Endsley, 1995). For autonomous USVs deployed in nearshore waters, where vessel traffic is dense, waterways are narrow, and environmental conditions are unpredictable, achieving all three levels of SA simultaneously and within operationally relevant time windows represents a formidable engineering challenge.</w:t>
      </w:r>
    </w:p>
    <w:p>
      <w:r>
        <w:rPr>
          <w:rFonts w:ascii="Times New Roman" w:hAnsi="Times New Roman"/>
          <w:sz w:val="22"/>
        </w:rPr>
        <w:t>Commercially available solutions exist for large ocean-going vessels — principally radar-based systems and those relying on the Automatic Identification System (AIS). However, these technologies are ill-suited to small and medium-sized USVs operating in shallow coastal waters, river channels, and busy harbours, where many obstacles are non-AIS-equipped and where the detection distances required may be as short as five to ten seconds ahead of the vessel's position. Single-sensor approaches, regardless of modality, are insufficient in such environments: cameras lack depth precision and are vulnerable to reflective glare; LiDAR sensors, though spatially accurate, cannot classify objects semantically and suffer from point sparsity for small targets; radar provides wide-area coverage but misses low-profile obstacles at close range. The natural response to these individual limitations is multi-sensor fusion, wherein the complementary strengths of each modality are combined to produce a more robust and complete environmental model.</w:t>
      </w:r>
    </w:p>
    <w:p>
      <w:r>
        <w:rPr>
          <w:rFonts w:ascii="Times New Roman" w:hAnsi="Times New Roman"/>
          <w:sz w:val="22"/>
        </w:rPr>
        <w:t xml:space="preserve">This chapter presents the design, implementation, and empirical validation of an Enhanced Situational Awareness (ESA) system developed for the SURAYA family of USVs at the Centre for Unmanned Technologies (CUTe), International Islamic University Malaysia. The system adopts a </w:t>
      </w:r>
      <w:r>
        <w:rPr>
          <w:rFonts w:ascii="Times New Roman" w:hAnsi="Times New Roman"/>
          <w:b/>
          <w:sz w:val="22"/>
        </w:rPr>
        <w:t>decision-level fusion</w:t>
      </w:r>
      <w:r>
        <w:rPr>
          <w:rFonts w:ascii="Times New Roman" w:hAnsi="Times New Roman"/>
          <w:sz w:val="22"/>
        </w:rPr>
        <w:t xml:space="preserve"> architecture — integrating a ZED2i stereo camera and a Velodyne HDL-32E three-dimensional LiDAR — wherein each sensor independently generates object-level data that are subsequently combined at the control decision stage. This fusion strategy was selected for its modular architecture, its tolerance to individual sensor degradation, and its compatibility with the resource-constrained computing environments found aboard small platforms. A custom Vision Integration Protocol (VIP) transmits fused obstacle data to the MOOS-IvP autonomous navigation framework using a standardised NMEA message format, enabling seamless integration with mission planning and collision avoidance behaviours.</w:t>
      </w:r>
    </w:p>
    <w:p>
      <w:r>
        <w:rPr>
          <w:rFonts w:ascii="Times New Roman" w:hAnsi="Times New Roman"/>
          <w:sz w:val="22"/>
        </w:rPr>
        <w:t>Key contributions presented in this chapter include: the MariCute series of maritime object detectors, trained on a curated Maritime Federated Large Dataset (MFLD) assembled specifically to address the dataset diversity limitations prevalent in the field; a KD-Tree accelerated Euclidean clustering pipeline for LiDAR-based obstacle segmentation, reducing processing latency from approximately 180 ms to 42 ms per frame; and a patent-protected collision avoidance module (Malaysia Patent No. PI2023001845) validated across multiple real-world test environments with over 99% operational accuracy.</w:t>
      </w:r>
    </w:p>
    <w:p>
      <w:r>
        <w:rPr>
          <w:rFonts w:ascii="Times New Roman" w:hAnsi="Times New Roman"/>
          <w:sz w:val="22"/>
        </w:rPr>
        <w:t>The chapter is organised as follows. Section 4.2 describes the ESA conceptual framework and overall system architecture. Section 4.3 introduces the SURAYA USV platform and its sensor configuration. The Vision Integration Protocol is detailed in Section 4.4. Sections 4.5 and 4.6 present the camera-based detection and LiDAR-based clustering subsystems respectively. Section 4.7 discusses the decision-level fusion mechanism and its performance. Section 4.8 presents field validation results. Section 4.9 concludes with a synthesis of contributions and key findings.</w:t>
      </w:r>
    </w:p>
    <w:p>
      <w:pPr>
        <w:pStyle w:val="Heading2"/>
      </w:pPr>
      <w:r>
        <w:t>ESA Framework Architecture</w:t>
      </w:r>
    </w:p>
    <w:p>
      <w:pPr>
        <w:pStyle w:val="Heading3"/>
      </w:pPr>
      <w:r>
        <w:t>Conceptual Foundation: From Perception to Action</w:t>
      </w:r>
    </w:p>
    <w:p>
      <w:r>
        <w:rPr>
          <w:rFonts w:ascii="Times New Roman" w:hAnsi="Times New Roman"/>
          <w:sz w:val="22"/>
        </w:rPr>
        <w:t xml:space="preserve">The ESA framework developed in this research is grounded in Endsley's three-tier SA model (Endsley, 1995), adapted to the specific operational demands of autonomous surface vehicles. At the </w:t>
      </w:r>
      <w:r>
        <w:rPr>
          <w:rFonts w:ascii="Times New Roman" w:hAnsi="Times New Roman"/>
          <w:b/>
          <w:sz w:val="22"/>
        </w:rPr>
        <w:t>perception tier</w:t>
      </w:r>
      <w:r>
        <w:rPr>
          <w:rFonts w:ascii="Times New Roman" w:hAnsi="Times New Roman"/>
          <w:sz w:val="22"/>
        </w:rPr>
        <w:t xml:space="preserve">, raw sensor data from the LiDAR and stereo camera are processed independently to identify obstacles within the vessel's operational range. At the </w:t>
      </w:r>
      <w:r>
        <w:rPr>
          <w:rFonts w:ascii="Times New Roman" w:hAnsi="Times New Roman"/>
          <w:b/>
          <w:sz w:val="22"/>
        </w:rPr>
        <w:t>comprehension tier</w:t>
      </w:r>
      <w:r>
        <w:rPr>
          <w:rFonts w:ascii="Times New Roman" w:hAnsi="Times New Roman"/>
          <w:sz w:val="22"/>
        </w:rPr>
        <w:t xml:space="preserve">, the system assigns navigational relevance to detected objects by estimating their proximity, bearing, dimensions, and trajectory relative to the USV. At the </w:t>
      </w:r>
      <w:r>
        <w:rPr>
          <w:rFonts w:ascii="Times New Roman" w:hAnsi="Times New Roman"/>
          <w:b/>
          <w:sz w:val="22"/>
        </w:rPr>
        <w:t>projection tier</w:t>
      </w:r>
      <w:r>
        <w:rPr>
          <w:rFonts w:ascii="Times New Roman" w:hAnsi="Times New Roman"/>
          <w:sz w:val="22"/>
        </w:rPr>
        <w:t>, these interpreted detections are forwarded to the MOOS-IvP autonomy stack, where behaviour-based algorithms project future collision risk and compute avoidance manoeuvres accordingly.</w:t>
      </w:r>
    </w:p>
    <w:p>
      <w:r>
        <w:rPr>
          <w:rFonts w:ascii="Times New Roman" w:hAnsi="Times New Roman"/>
          <w:sz w:val="22"/>
        </w:rPr>
        <w:t>A distinguishing characteristic of the ESA system is its commitment to practical deployability under resource constraints. The framework was not designed for idealised laboratory conditions; instead, it was conceived and iteratively refined through field deployments aboard the SURAYA vessels in Malaysian coastal and inland waterways — environments characterised by variable lighting, water surface reflections, and considerable navigational clutter. This empirical grounding distinguishes the ESA system from purely simulation-validated architectures and provides the confidence basis for its patent-protected real-world deployment.</w:t>
      </w:r>
    </w:p>
    <w:tbl>
      <w:tblPr>
        <w:tblStyle w:val="TableGrid"/>
        <w:tblW w:type="auto" w:w="0"/>
        <w:tblLook w:firstColumn="1" w:firstRow="1" w:lastColumn="0" w:lastRow="0" w:noHBand="0" w:noVBand="1" w:val="04A0"/>
      </w:tblPr>
      <w:tblGrid>
        <w:gridCol w:w="5760"/>
      </w:tblGrid>
      <w:tr>
        <w:tc>
          <w:tcPr>
            <w:tcW w:type="dxa" w:w="5760"/>
            <w:shd w:val="clear" w:color="auto" w:fill="EBEBEB"/>
          </w:tcPr>
          <w:p>
            <w:pPr>
              <w:jc w:val="center"/>
            </w:pPr>
            <w:r>
              <w:rPr>
                <w:b/>
                <w:color w:val="505050"/>
                <w:sz w:val="20"/>
              </w:rPr>
              <w:t>[ FIGURE 4.1 — Proposed ]</w:t>
            </w:r>
          </w:p>
          <w:p>
            <w:pPr>
              <w:jc w:val="center"/>
            </w:pPr>
            <w:r>
              <w:rPr>
                <w:i/>
                <w:color w:val="6E6E6E"/>
                <w:sz w:val="18"/>
              </w:rPr>
              <w:t>A three-tier conceptual diagram of the ESA framework illustrating the processing pipeline from raw sensor data (perception tier) through obstacle interpretation (comprehension tier) to MOOS-IvP control output (projection tier). Recommended to adapt from Thesis Figure 1.2 or create an original block diagram.</w:t>
            </w:r>
          </w:p>
        </w:tc>
      </w:tr>
    </w:tbl>
    <w:p>
      <w:pPr>
        <w:spacing w:before="60" w:after="240"/>
        <w:jc w:val="center"/>
      </w:pPr>
      <w:r>
        <w:rPr>
          <w:rFonts w:ascii="Times New Roman" w:hAnsi="Times New Roman"/>
          <w:i/>
          <w:sz w:val="20"/>
        </w:rPr>
        <w:t>Figure 4.1. The ESA conceptual framework: perception, comprehension, and projection applied to USV autonomous navigation.</w:t>
      </w:r>
    </w:p>
    <w:p>
      <w:pPr>
        <w:pStyle w:val="Heading3"/>
      </w:pPr>
      <w:r>
        <w:t>System Architecture Overview</w:t>
      </w:r>
    </w:p>
    <w:p>
      <w:r>
        <w:rPr>
          <w:rFonts w:ascii="Times New Roman" w:hAnsi="Times New Roman"/>
          <w:sz w:val="22"/>
        </w:rPr>
        <w:t xml:space="preserve">The overall architecture of the ESA system is illustrated schematically in Figure 4.2. The system is structured around four principal functional layers: the </w:t>
      </w:r>
      <w:r>
        <w:rPr>
          <w:rFonts w:ascii="Times New Roman" w:hAnsi="Times New Roman"/>
          <w:b/>
          <w:sz w:val="22"/>
        </w:rPr>
        <w:t>sensor acquisition layer</w:t>
      </w:r>
      <w:r>
        <w:rPr>
          <w:rFonts w:ascii="Times New Roman" w:hAnsi="Times New Roman"/>
          <w:sz w:val="22"/>
        </w:rPr>
        <w:t xml:space="preserve">, comprising the Velodyne HDL-32E and ZED2i; the </w:t>
      </w:r>
      <w:r>
        <w:rPr>
          <w:rFonts w:ascii="Times New Roman" w:hAnsi="Times New Roman"/>
          <w:b/>
          <w:sz w:val="22"/>
        </w:rPr>
        <w:t>perception processing layer</w:t>
      </w:r>
      <w:r>
        <w:rPr>
          <w:rFonts w:ascii="Times New Roman" w:hAnsi="Times New Roman"/>
          <w:sz w:val="22"/>
        </w:rPr>
        <w:t xml:space="preserve">, in which object detection and LiDAR clustering execute independently on dedicated hardware threads; the </w:t>
      </w:r>
      <w:r>
        <w:rPr>
          <w:rFonts w:ascii="Times New Roman" w:hAnsi="Times New Roman"/>
          <w:b/>
          <w:sz w:val="22"/>
        </w:rPr>
        <w:t>fusion and communication layer</w:t>
      </w:r>
      <w:r>
        <w:rPr>
          <w:rFonts w:ascii="Times New Roman" w:hAnsi="Times New Roman"/>
          <w:sz w:val="22"/>
        </w:rPr>
        <w:t xml:space="preserve">, managed by the VIP module; and the </w:t>
      </w:r>
      <w:r>
        <w:rPr>
          <w:rFonts w:ascii="Times New Roman" w:hAnsi="Times New Roman"/>
          <w:b/>
          <w:sz w:val="22"/>
        </w:rPr>
        <w:t>autonomy and control layer</w:t>
      </w:r>
      <w:r>
        <w:rPr>
          <w:rFonts w:ascii="Times New Roman" w:hAnsi="Times New Roman"/>
          <w:sz w:val="22"/>
        </w:rPr>
        <w:t>, implemented via the MOOS-IvP framework.</w:t>
      </w:r>
    </w:p>
    <w:p>
      <w:r>
        <w:rPr>
          <w:rFonts w:ascii="Times New Roman" w:hAnsi="Times New Roman"/>
          <w:sz w:val="22"/>
        </w:rPr>
        <w:t>This layered architecture ensures that individual component failures do not cascade into system-wide loss of situational awareness. If the camera module is degraded — for instance, by direct solar glare — the LiDAR subsystem continues to provide spatial obstacle data, and the VIP module flags sensor confidence accordingly. Conversely, should the LiDAR experience point cloud sparsity on low-profile targets, the camera's semantic detection compensates. This fault-tolerant behaviour was validated empirically during field trials and is fundamental to the system's reported 99% operational accuracy across diverse test conditions.</w:t>
      </w:r>
    </w:p>
    <w:tbl>
      <w:tblPr>
        <w:tblStyle w:val="TableGrid"/>
        <w:tblW w:type="auto" w:w="0"/>
        <w:tblLook w:firstColumn="1" w:firstRow="1" w:lastColumn="0" w:lastRow="0" w:noHBand="0" w:noVBand="1" w:val="04A0"/>
      </w:tblPr>
      <w:tblGrid>
        <w:gridCol w:w="5760"/>
      </w:tblGrid>
      <w:tr>
        <w:tc>
          <w:tcPr>
            <w:tcW w:type="dxa" w:w="5760"/>
            <w:shd w:val="clear" w:color="auto" w:fill="EBEBEB"/>
          </w:tcPr>
          <w:p>
            <w:pPr>
              <w:jc w:val="center"/>
            </w:pPr>
            <w:r>
              <w:rPr>
                <w:b/>
                <w:color w:val="505050"/>
                <w:sz w:val="20"/>
              </w:rPr>
              <w:t>[ FIGURE 4.2 — Proposed ]</w:t>
            </w:r>
          </w:p>
          <w:p>
            <w:pPr>
              <w:jc w:val="center"/>
            </w:pPr>
            <w:r>
              <w:rPr>
                <w:i/>
                <w:color w:val="6E6E6E"/>
                <w:sz w:val="18"/>
              </w:rPr>
              <w:t>High-level system architecture diagram showing the four functional layers: sensor acquisition, perception processing, fusion/communication (VIP), and autonomy control (MOOS-IvP), with data flow directions. Adapt from Thesis Figures 3.2 and 3.18, or create an original schematic.</w:t>
            </w:r>
          </w:p>
        </w:tc>
      </w:tr>
    </w:tbl>
    <w:p>
      <w:pPr>
        <w:spacing w:before="60" w:after="240"/>
        <w:jc w:val="center"/>
      </w:pPr>
      <w:r>
        <w:rPr>
          <w:rFonts w:ascii="Times New Roman" w:hAnsi="Times New Roman"/>
          <w:i/>
          <w:sz w:val="20"/>
        </w:rPr>
        <w:t>Figure 4.2. Overall architecture of the ESA system for Suraya USVs, illustrating layered sensor processing, fusion via the VIP module, and control through MOOS-IvP.</w:t>
      </w:r>
    </w:p>
    <w:p>
      <w:pPr>
        <w:pStyle w:val="Heading2"/>
      </w:pPr>
      <w:r>
        <w:t>The SURAYA Platform and Sensor Configuration</w:t>
      </w:r>
    </w:p>
    <w:p>
      <w:pPr>
        <w:pStyle w:val="Heading3"/>
      </w:pPr>
      <w:r>
        <w:t>The SURAYA USV Family</w:t>
      </w:r>
    </w:p>
    <w:p>
      <w:r>
        <w:rPr>
          <w:rFonts w:ascii="Times New Roman" w:hAnsi="Times New Roman"/>
          <w:sz w:val="22"/>
        </w:rPr>
        <w:t>The SURAYA family of USVs was developed by the Centre for Unmanned Technologies (CUTe) at IIUM in collaboration with Hidrokinetik Group, forming the principal experimental testbed for this research. The family comprises four vessels of increasing capability: SURAYA-I (1.5 m, 2018), SURAYA-II (2.2 m, 2019), the Suraya Surveyor (approximately 4 m, 2020), and the Suraya Riptide (2.1 m, 2022). All vessels in the family are designed for hydrographic surveying in Malaysian coastal and inland waters and share a common software architecture, facilitating hardware-agnostic deployment of the ESA framework.</w:t>
      </w:r>
    </w:p>
    <w:p>
      <w:r>
        <w:rPr>
          <w:rFonts w:ascii="Times New Roman" w:hAnsi="Times New Roman"/>
          <w:sz w:val="22"/>
        </w:rPr>
        <w:t xml:space="preserve">This research was conducted primarily on the </w:t>
      </w:r>
      <w:r>
        <w:rPr>
          <w:rFonts w:ascii="Times New Roman" w:hAnsi="Times New Roman"/>
          <w:b/>
          <w:sz w:val="22"/>
        </w:rPr>
        <w:t>Suraya Surveyor</w:t>
      </w:r>
      <w:r>
        <w:rPr>
          <w:rFonts w:ascii="Times New Roman" w:hAnsi="Times New Roman"/>
          <w:sz w:val="22"/>
        </w:rPr>
        <w:t xml:space="preserve"> and the </w:t>
      </w:r>
      <w:r>
        <w:rPr>
          <w:rFonts w:ascii="Times New Roman" w:hAnsi="Times New Roman"/>
          <w:b/>
          <w:sz w:val="22"/>
        </w:rPr>
        <w:t>Suraya Riptide</w:t>
      </w:r>
      <w:r>
        <w:rPr>
          <w:rFonts w:ascii="Times New Roman" w:hAnsi="Times New Roman"/>
          <w:sz w:val="22"/>
        </w:rPr>
        <w:t>. The Surveyor served as the principal experimental vessel owing to its larger deck area, which accommodated the full sensor suite and computing hardware with mechanical stability. The Riptide, meanwhile, validated the scalability of the ESA software architecture to a significantly more constrained platform, demonstrating the framework's portability across different hull configurations without software modification.</w:t>
      </w:r>
    </w:p>
    <w:tbl>
      <w:tblPr>
        <w:tblStyle w:val="TableGrid"/>
        <w:tblW w:type="auto" w:w="0"/>
        <w:tblLook w:firstColumn="1" w:firstRow="1" w:lastColumn="0" w:lastRow="0" w:noHBand="0" w:noVBand="1" w:val="04A0"/>
      </w:tblPr>
      <w:tblGrid>
        <w:gridCol w:w="5760"/>
      </w:tblGrid>
      <w:tr>
        <w:tc>
          <w:tcPr>
            <w:tcW w:type="dxa" w:w="5760"/>
            <w:shd w:val="clear" w:color="auto" w:fill="EBEBEB"/>
          </w:tcPr>
          <w:p>
            <w:pPr>
              <w:jc w:val="center"/>
            </w:pPr>
            <w:r>
              <w:rPr>
                <w:b/>
                <w:color w:val="505050"/>
                <w:sz w:val="20"/>
              </w:rPr>
              <w:t>[ FIGURE 4.3 — Adapted from Thesis ]</w:t>
            </w:r>
          </w:p>
          <w:p>
            <w:pPr>
              <w:jc w:val="center"/>
            </w:pPr>
            <w:r>
              <w:rPr>
                <w:i/>
                <w:color w:val="6E6E6E"/>
                <w:sz w:val="18"/>
              </w:rPr>
              <w:t>Side-by-side photographs of the Suraya Surveyor (left) and Suraya Riptide (right) with sensor installations visible. Adapt from Thesis Figures 2.2 and 5.3.</w:t>
            </w:r>
          </w:p>
        </w:tc>
      </w:tr>
    </w:tbl>
    <w:p>
      <w:pPr>
        <w:spacing w:before="60" w:after="240"/>
        <w:jc w:val="center"/>
      </w:pPr>
      <w:r>
        <w:rPr>
          <w:rFonts w:ascii="Times New Roman" w:hAnsi="Times New Roman"/>
          <w:i/>
          <w:sz w:val="20"/>
        </w:rPr>
        <w:t>Figure 4.3. The SURAYA USV family: (a) Suraya Surveyor deployed for open-water trials; (b) Suraya Riptide in near-shore test configuration at Port Klang.</w:t>
      </w:r>
    </w:p>
    <w:p>
      <w:pPr>
        <w:pStyle w:val="Heading3"/>
      </w:pPr>
      <w:r>
        <w:t>Navigational Position Sensors</w:t>
      </w:r>
    </w:p>
    <w:p>
      <w:r>
        <w:rPr>
          <w:rFonts w:ascii="Times New Roman" w:hAnsi="Times New Roman"/>
          <w:sz w:val="22"/>
        </w:rPr>
        <w:t>Accurate positional knowledge forms the foundation upon which all upstream perception and fusion outputs are rendered meaningful. Three navigational sensors were integrated into the SURAYA platform.</w:t>
      </w:r>
    </w:p>
    <w:p>
      <w:r>
        <w:rPr>
          <w:rFonts w:ascii="Times New Roman" w:hAnsi="Times New Roman"/>
          <w:b/>
          <w:sz w:val="22"/>
        </w:rPr>
        <w:t>RTK-GPS (AtlasLink GNSS Smart Antenna).</w:t>
      </w:r>
      <w:r>
        <w:rPr>
          <w:rFonts w:ascii="Times New Roman" w:hAnsi="Times New Roman"/>
          <w:sz w:val="22"/>
        </w:rPr>
        <w:t xml:space="preserve"> The AtlasLink provides multi-GNSS, multi-frequency position fixes using correction signals from Hemisphere Atlas L-band satellites and a network of approximately 200 global reference stations. With the H10 correction service activated, the system achieves sub-decimeter positional accuracy at up to 4 cm RMS — sufficient for accurate georeferencing of detected obstacles relative to the vessel's position. The sensor measurement model is expressed as:</w:t>
      </w:r>
    </w:p>
    <w:p>
      <w:pPr>
        <w:spacing w:before="120" w:after="120"/>
        <w:jc w:val="center"/>
      </w:pPr>
      <w:r>
        <w:rPr>
          <w:rFonts w:ascii="Times New Roman" w:hAnsi="Times New Roman"/>
          <w:i/>
          <w:sz w:val="22"/>
        </w:rPr>
        <w:t>p_o = p_i + v_g</w:t>
      </w:r>
      <w:r>
        <w:t xml:space="preserve">   (4.1)</w:t>
      </w:r>
    </w:p>
    <w:p>
      <w:r>
        <w:rPr>
          <w:rFonts w:ascii="Times New Roman" w:hAnsi="Times New Roman"/>
          <w:sz w:val="22"/>
        </w:rPr>
        <w:t>where $p_i$ is the true position, $p_o$ is the measured (noisy) position, and $v_g$ is an additive Gaussian noise term characterised by the sensor's RMS error (Liu, 2020).</w:t>
      </w:r>
    </w:p>
    <w:p>
      <w:r>
        <w:rPr>
          <w:rFonts w:ascii="Times New Roman" w:hAnsi="Times New Roman"/>
          <w:b/>
          <w:sz w:val="22"/>
        </w:rPr>
        <w:t>KVH C100 Electronic Compass.</w:t>
      </w:r>
      <w:r>
        <w:rPr>
          <w:rFonts w:ascii="Times New Roman" w:hAnsi="Times New Roman"/>
          <w:sz w:val="22"/>
        </w:rPr>
        <w:t xml:space="preserve"> The C100 provides absolute heading measurements in NMEA 0183 format, operating reliably across a temperature range of −40°C to 65°C. Its automatic magnetic deviation compensation and tilt correction make it robust to the dynamic motions encountered in nearshore maritime operations. Heading measurements are modelled analogously to the GPS:</w:t>
      </w:r>
    </w:p>
    <w:p>
      <w:pPr>
        <w:spacing w:before="120" w:after="120"/>
        <w:jc w:val="center"/>
      </w:pPr>
      <w:r>
        <w:rPr>
          <w:rFonts w:ascii="Times New Roman" w:hAnsi="Times New Roman"/>
          <w:i/>
          <w:sz w:val="22"/>
        </w:rPr>
        <w:t>ψ_o = ψ_i + v_h</w:t>
      </w:r>
      <w:r>
        <w:t xml:space="preserve">   (4.2)</w:t>
      </w:r>
    </w:p>
    <w:p>
      <w:r>
        <w:rPr>
          <w:rFonts w:ascii="Times New Roman" w:hAnsi="Times New Roman"/>
          <w:sz w:val="22"/>
        </w:rPr>
        <w:t>where $\psi_i$ is the true heading, $\psi_o$ is the measured heading, and $v_h$ is a zero-mean random noise component scaled by the compass's RMS heading error.</w:t>
      </w:r>
    </w:p>
    <w:p>
      <w:r>
        <w:rPr>
          <w:rFonts w:ascii="Times New Roman" w:hAnsi="Times New Roman"/>
          <w:b/>
          <w:sz w:val="22"/>
        </w:rPr>
        <w:t>SBG Systems Ellipse-E Inertial Navigation System.</w:t>
      </w:r>
      <w:r>
        <w:rPr>
          <w:rFonts w:ascii="Times New Roman" w:hAnsi="Times New Roman"/>
          <w:sz w:val="22"/>
        </w:rPr>
        <w:t xml:space="preserve"> The Ellipse-E integrates a MEMS-based IMU with an embedded Extended Kalman Filter (EKF) to produce fused estimates of orientation (roll, pitch, heading), velocity, and position at update rates up to 1,000 Hz. Its pitch and roll accuracy of 0.05° under RTK conditions provides the motion compensation necessary for stable sensor fusion in wave-affected environments. Inertial measurements carry both additive random noise and a constant bias component, modelled as:</w:t>
      </w:r>
    </w:p>
    <w:p>
      <w:pPr>
        <w:spacing w:before="120" w:after="120"/>
        <w:jc w:val="center"/>
      </w:pPr>
      <w:r>
        <w:rPr>
          <w:rFonts w:ascii="Times New Roman" w:hAnsi="Times New Roman"/>
          <w:i/>
          <w:sz w:val="22"/>
        </w:rPr>
        <w:t>a_o = a_i + b_a + w_a</w:t>
      </w:r>
      <w:r>
        <w:t xml:space="preserve">   (4.3)</w:t>
      </w:r>
    </w:p>
    <w:p>
      <w:pPr>
        <w:spacing w:before="120" w:after="120"/>
        <w:jc w:val="center"/>
      </w:pPr>
      <w:r>
        <w:rPr>
          <w:rFonts w:ascii="Times New Roman" w:hAnsi="Times New Roman"/>
          <w:i/>
          <w:sz w:val="22"/>
        </w:rPr>
        <w:t>ω_o = ω_i + b_g + w_g</w:t>
      </w:r>
      <w:r>
        <w:t xml:space="preserve">   (4.4)</w:t>
      </w:r>
    </w:p>
    <w:p>
      <w:r>
        <w:rPr>
          <w:rFonts w:ascii="Times New Roman" w:hAnsi="Times New Roman"/>
          <w:sz w:val="22"/>
        </w:rPr>
        <w:t>where $a_o$ and $\omega_o$ are raw accelerometer and gyroscope readings; $a_i$ and $\omega_i$ are the true linear acceleration and angular rate; $b_a$ and $b_g$ are constant bias terms estimated through pre-deployment calibration; and $w_a$, $w_g$ are zero-mean Gaussian noise processes.</w:t>
      </w:r>
    </w:p>
    <w:p>
      <w:pPr>
        <w:pStyle w:val="Heading3"/>
      </w:pPr>
      <w:r>
        <w:t>Perception Sensors</w:t>
      </w:r>
    </w:p>
    <w:p>
      <w:r>
        <w:rPr>
          <w:rFonts w:ascii="Times New Roman" w:hAnsi="Times New Roman"/>
          <w:b/>
          <w:sz w:val="22"/>
        </w:rPr>
        <w:t>Velodyne HDL-32E Three-Dimensional LiDAR.</w:t>
      </w:r>
      <w:r>
        <w:rPr>
          <w:rFonts w:ascii="Times New Roman" w:hAnsi="Times New Roman"/>
          <w:sz w:val="22"/>
        </w:rPr>
        <w:t xml:space="preserve"> The HDL-32E employs 32 radially arranged laser rangefinders rotating continuously about the vertical axis, generating a 360° point cloud at a rate of approximately 700,000 points per second at the default 7 Hz spin rate. Its measurement range spans 1 m to 70 m, making it well-suited to detecting obstacles at the reaction distances relevant to USV collision avoidance (approximately 5 to 20 m for the vessel speeds considered in this study). The 3D spatial coordinates of each measured point are computed as:</w:t>
      </w:r>
    </w:p>
    <w:p>
      <w:pPr>
        <w:spacing w:before="120" w:after="120"/>
        <w:jc w:val="center"/>
      </w:pPr>
      <w:r>
        <w:rPr>
          <w:rFonts w:ascii="Times New Roman" w:hAnsi="Times New Roman"/>
          <w:i/>
          <w:sz w:val="22"/>
        </w:rPr>
        <w:t>( x_ijk ; y_ijk ; z_ijk ) = ( ρ_ijkcos(α_j)sinθ_ijk ; ρ_ijkcos(α_j)cosθ_ijk ; ρ_ijksin(α_j) )</w:t>
      </w:r>
      <w:r>
        <w:t xml:space="preserve">   (4.5)</w:t>
      </w:r>
    </w:p>
    <w:p>
      <w:r>
        <w:rPr>
          <w:rFonts w:ascii="Times New Roman" w:hAnsi="Times New Roman"/>
          <w:sz w:val="22"/>
        </w:rPr>
        <w:t>where $\rho$ and $\theta$ are the measured range and horizontal angular position for point $i$ captured by laser $j$ at scan position $k$, and $\alpha_j$ is the fixed vertical elevation angle of laser channel $j$.</w:t>
      </w:r>
    </w:p>
    <w:p>
      <w:r>
        <w:rPr>
          <w:rFonts w:ascii="Times New Roman" w:hAnsi="Times New Roman"/>
          <w:b/>
          <w:sz w:val="22"/>
        </w:rPr>
        <w:t>ZED2i Stereo Camera.</w:t>
      </w:r>
      <w:r>
        <w:rPr>
          <w:rFonts w:ascii="Times New Roman" w:hAnsi="Times New Roman"/>
          <w:sz w:val="22"/>
        </w:rPr>
        <w:t xml:space="preserve"> The ZED2i provides synchronised RGB colour imagery and dense depth maps at 30 frames per second. Depth estimation exploits the principle of stereoscopic triangulation: given the calibrated baseline $B$ between the left and right cameras and the focal length $f$, the depth $Z$ of a scene point is recovered from the horizontal disparity $d = x_{il} - x_{ir}$ between corresponding pixels in the stereo image pair:</w:t>
      </w:r>
    </w:p>
    <w:p>
      <w:pPr>
        <w:spacing w:before="120" w:after="120"/>
        <w:jc w:val="center"/>
      </w:pPr>
      <w:r>
        <w:rPr>
          <w:rFonts w:ascii="Times New Roman" w:hAnsi="Times New Roman"/>
          <w:i/>
          <w:sz w:val="22"/>
        </w:rPr>
        <w:t>Z = (fB)/(x_il) - x_{ir}</w:t>
      </w:r>
      <w:r>
        <w:t xml:space="preserve">   (4.6)</w:t>
      </w:r>
    </w:p>
    <w:p>
      <w:r>
        <w:rPr>
          <w:rFonts w:ascii="Times New Roman" w:hAnsi="Times New Roman"/>
          <w:sz w:val="22"/>
        </w:rPr>
        <w:t>The ZED2i's depth sensing range was filtered to the interval [0.5, 20] m in this application, eliminating noise from water surface artefacts below 0.5 m and unreliable depth estimates at ranges exceeding 20 m — the practical operational boundary for collision-critical decisions at 2 knots. Both RGB and depth data streams are consumed by the detection and classification pipeline described in Section 4.5.</w:t>
      </w:r>
    </w:p>
    <w:p>
      <w:r>
        <w:rPr>
          <w:rFonts w:ascii="Times New Roman" w:hAnsi="Times New Roman"/>
          <w:sz w:val="22"/>
        </w:rPr>
        <w:t>The mounting configuration of these sensors was refined through iterative field testing. On the Suraya Surveyor, the ZED2i was positioned 1.2 m above the waterline with a slight downward tilt, providing a 120° horizontal field of view with a forward dead-zone of less than 1 m. The Velodyne was mounted 1.95 m above the deck on a motorised adjustable bracket, pitched at 65° to align its dead zone with that of the camera, optimising sensor complementarity. On the smaller Riptide, the ZED2i was mounted at 0.45 m above the waterline and the Velodyne on a custom bracket at the stern, maintaining a 180° unobstructed frontal field of view despite the reduced deck space.</w:t>
      </w:r>
    </w:p>
    <w:p>
      <w:pPr>
        <w:pStyle w:val="Heading3"/>
      </w:pPr>
      <w:r>
        <w:t>Computing Architecture</w:t>
      </w:r>
    </w:p>
    <w:p>
      <w:r>
        <w:rPr>
          <w:rFonts w:ascii="Times New Roman" w:hAnsi="Times New Roman"/>
          <w:sz w:val="22"/>
        </w:rPr>
        <w:t>The computing layer of the SURAYA platform implements a distributed tri-nodal processing architecture that balances perception throughput, navigational communication, and low-level control execution across specialised hardware.</w:t>
      </w:r>
    </w:p>
    <w:p>
      <w:r>
        <w:rPr>
          <w:rFonts w:ascii="Times New Roman" w:hAnsi="Times New Roman"/>
          <w:sz w:val="22"/>
        </w:rPr>
        <w:t xml:space="preserve">The </w:t>
      </w:r>
      <w:r>
        <w:rPr>
          <w:rFonts w:ascii="Times New Roman" w:hAnsi="Times New Roman"/>
          <w:b/>
          <w:sz w:val="22"/>
        </w:rPr>
        <w:t>NVIDIA Jetson AGX Xavier</w:t>
      </w:r>
      <w:r>
        <w:rPr>
          <w:rFonts w:ascii="Times New Roman" w:hAnsi="Times New Roman"/>
          <w:sz w:val="22"/>
        </w:rPr>
        <w:t xml:space="preserve"> serves as the primary perception processor, running JetPack 4.4 (L4T 32.4.3) with CUDA 10.2, cuDNN 8.0, TensorRT 7.1, and OpenCV-CUDA 3.4.3. The platform handles real-time inference of the YOLOv5 detection model and processes Velodyne point clouds for clustering and obstacle localisation. Once an obstacle is detected, its coordinates in the sensor reference frame are transformed to the vessel's body frame using a rigid body transformation:</w:t>
      </w:r>
    </w:p>
    <w:p>
      <w:pPr>
        <w:spacing w:before="120" w:after="120"/>
        <w:jc w:val="center"/>
      </w:pPr>
      <w:r>
        <w:rPr>
          <w:rFonts w:ascii="Times New Roman" w:hAnsi="Times New Roman"/>
          <w:i/>
          <w:sz w:val="22"/>
        </w:rPr>
        <w:t>( x_o ; y_o ; z_o ) = R ( x_i ; y_i ; z_i ) + T_i</w:t>
      </w:r>
      <w:r>
        <w:t xml:space="preserve">   (4.7)</w:t>
      </w:r>
    </w:p>
    <w:p>
      <w:r>
        <w:rPr>
          <w:rFonts w:ascii="Times New Roman" w:hAnsi="Times New Roman"/>
          <w:sz w:val="22"/>
        </w:rPr>
        <w:t>where $(x_i, y_i, z_i)$ are the sensor-frame coordinates, $\mathbf{R}$ is the rotation matrix encoding the sensor's orientation relative to the vessel body frame, and $\mathbf{T}_i$ is the translation vector representing the sensor's physical displacement from the body frame origin. GPU acceleration reduced point cloud processing time from approximately 9 s (CPU-only) to 1.3 s and, with additional voxel downsampling, to 45 ms per frame.</w:t>
      </w:r>
    </w:p>
    <w:p>
      <w:r>
        <w:rPr>
          <w:rFonts w:ascii="Times New Roman" w:hAnsi="Times New Roman"/>
          <w:sz w:val="22"/>
        </w:rPr>
        <w:t xml:space="preserve">The </w:t>
      </w:r>
      <w:r>
        <w:rPr>
          <w:rFonts w:ascii="Times New Roman" w:hAnsi="Times New Roman"/>
          <w:b/>
          <w:sz w:val="22"/>
        </w:rPr>
        <w:t>Raspberry Pi 4</w:t>
      </w:r>
      <w:r>
        <w:rPr>
          <w:rFonts w:ascii="Times New Roman" w:hAnsi="Times New Roman"/>
          <w:sz w:val="22"/>
        </w:rPr>
        <w:t xml:space="preserve"> serves as the navigational communication hub, consolidating position, heading, and inertial data from the RTK-GPS, compass, and INS via RS232 serial connections through a USB-to-serial hub. It maintains and propagates the vessel's state vector:</w:t>
      </w:r>
    </w:p>
    <w:p>
      <w:pPr>
        <w:spacing w:before="120" w:after="120"/>
        <w:jc w:val="center"/>
      </w:pPr>
      <w:r>
        <w:rPr>
          <w:rFonts w:ascii="Times New Roman" w:hAnsi="Times New Roman"/>
          <w:i/>
          <w:sz w:val="22"/>
        </w:rPr>
        <w:t>S(t) = ( x(t) ; y(t) ; θ(t) )</w:t>
      </w:r>
      <w:r>
        <w:t xml:space="preserve">   (4.8)</w:t>
      </w:r>
    </w:p>
    <w:p>
      <w:r>
        <w:rPr>
          <w:rFonts w:ascii="Times New Roman" w:hAnsi="Times New Roman"/>
          <w:sz w:val="22"/>
        </w:rPr>
        <w:t>which is updated at each time step according to:</w:t>
      </w:r>
    </w:p>
    <w:p>
      <w:pPr>
        <w:spacing w:before="120" w:after="120"/>
        <w:jc w:val="center"/>
      </w:pPr>
      <w:r>
        <w:rPr>
          <w:rFonts w:ascii="Times New Roman" w:hAnsi="Times New Roman"/>
          <w:i/>
          <w:sz w:val="22"/>
        </w:rPr>
        <w:t>S(t+1) = S(t) + Δ t · f(u, S(t))</w:t>
      </w:r>
      <w:r>
        <w:t xml:space="preserve">   (4.9)</w:t>
      </w:r>
    </w:p>
    <w:p>
      <w:r>
        <w:rPr>
          <w:rFonts w:ascii="Times New Roman" w:hAnsi="Times New Roman"/>
          <w:sz w:val="22"/>
        </w:rPr>
        <w:t xml:space="preserve">where $f(\cdot)$ is the vessel's kinematic state transition function and $\mathbf{u}$ represents control inputs generated by the Arduino actuator controller. The </w:t>
      </w:r>
      <w:r>
        <w:rPr>
          <w:rFonts w:ascii="Times New Roman" w:hAnsi="Times New Roman"/>
          <w:b/>
          <w:sz w:val="22"/>
        </w:rPr>
        <w:t>Arduino Nano</w:t>
      </w:r>
      <w:r>
        <w:rPr>
          <w:rFonts w:ascii="Times New Roman" w:hAnsi="Times New Roman"/>
          <w:sz w:val="22"/>
        </w:rPr>
        <w:t xml:space="preserve"> implements local PID control at a 50 Hz loop rate, translating high-level navigation commands into PWM signals for the propulsion and steering actuators.</w:t>
      </w:r>
    </w:p>
    <w:tbl>
      <w:tblPr>
        <w:tblStyle w:val="TableGrid"/>
        <w:tblW w:type="auto" w:w="0"/>
        <w:tblLook w:firstColumn="1" w:firstRow="1" w:lastColumn="0" w:lastRow="0" w:noHBand="0" w:noVBand="1" w:val="04A0"/>
      </w:tblPr>
      <w:tblGrid>
        <w:gridCol w:w="5760"/>
      </w:tblGrid>
      <w:tr>
        <w:tc>
          <w:tcPr>
            <w:tcW w:type="dxa" w:w="5760"/>
            <w:shd w:val="clear" w:color="auto" w:fill="EBEBEB"/>
          </w:tcPr>
          <w:p>
            <w:pPr>
              <w:jc w:val="center"/>
            </w:pPr>
            <w:r>
              <w:rPr>
                <w:b/>
                <w:color w:val="505050"/>
                <w:sz w:val="20"/>
              </w:rPr>
              <w:t>[ FIGURE 4.4 — Adapted from Thesis ]</w:t>
            </w:r>
          </w:p>
          <w:p>
            <w:pPr>
              <w:jc w:val="center"/>
            </w:pPr>
            <w:r>
              <w:rPr>
                <w:i/>
                <w:color w:val="6E6E6E"/>
                <w:sz w:val="18"/>
              </w:rPr>
              <w:t>Schematic of the tri-nodal computing architecture showing the Jetson AGX Xavier (perception), Raspberry Pi 4 (navigation/communication), and Arduino Nano (actuation), with data flow paths and sensor interfaces annotated. Adapt from Thesis Figure 3.14.</w:t>
            </w:r>
          </w:p>
        </w:tc>
      </w:tr>
    </w:tbl>
    <w:p>
      <w:pPr>
        <w:spacing w:before="60" w:after="240"/>
        <w:jc w:val="center"/>
      </w:pPr>
      <w:r>
        <w:rPr>
          <w:rFonts w:ascii="Times New Roman" w:hAnsi="Times New Roman"/>
          <w:i/>
          <w:sz w:val="20"/>
        </w:rPr>
        <w:t>Figure 4.4. Distributed computing architecture of the SURAYA navigation system, illustrating the functional partitioning of perception, navigation, and control tasks.</w:t>
      </w:r>
    </w:p>
    <w:p>
      <w:pPr>
        <w:pStyle w:val="Heading2"/>
      </w:pPr>
      <w:r>
        <w:t>Vision Integration Protocol</w:t>
      </w:r>
    </w:p>
    <w:p>
      <w:pPr>
        <w:pStyle w:val="Heading3"/>
      </w:pPr>
      <w:r>
        <w:t>Communication Architecture</w:t>
      </w:r>
    </w:p>
    <w:p>
      <w:r>
        <w:rPr>
          <w:rFonts w:ascii="Times New Roman" w:hAnsi="Times New Roman"/>
          <w:sz w:val="22"/>
        </w:rPr>
        <w:t xml:space="preserve">A persistent challenge in deploying multi-sensor autonomous systems is the reliable and standardised transmission of heterogeneous perception outputs to the downstream autonomy controller. To address this, a dedicated software module — the </w:t>
      </w:r>
      <w:r>
        <w:rPr>
          <w:rFonts w:ascii="Times New Roman" w:hAnsi="Times New Roman"/>
          <w:b/>
          <w:sz w:val="22"/>
        </w:rPr>
        <w:t>Vision Integration Protocol (VIP)</w:t>
      </w:r>
      <w:r>
        <w:rPr>
          <w:rFonts w:ascii="Times New Roman" w:hAnsi="Times New Roman"/>
          <w:sz w:val="22"/>
        </w:rPr>
        <w:t xml:space="preserve"> — was developed as part of this research. VIP implements a UDP client-server architecture, enabling low-latency, bidirectional communication between the perception processing node (Jetson AGX) and the MOOS-IvP autonomy stack running on the Raspberry Pi.</w:t>
      </w:r>
    </w:p>
    <w:p>
      <w:r>
        <w:rPr>
          <w:rFonts w:ascii="Times New Roman" w:hAnsi="Times New Roman"/>
          <w:sz w:val="22"/>
        </w:rPr>
        <w:t>The choice of UDP over TCP was deliberate: in real-time maritime navigation, the timeliness of an obstacle report takes precedence over guaranteed delivery. A slightly stale obstacle position is more dangerous than a momentarily missing one, since the autonomy framework maintains an internal obstacle register and can raise non-detection alarms to the controller when sensor data is absent. VIP monitors each data stream and transmits a NaN-formatted alarm message when sensor readings are unavailable, ensuring the controller remains informed of sensor health at all times.</w:t>
      </w:r>
    </w:p>
    <w:tbl>
      <w:tblPr>
        <w:tblStyle w:val="TableGrid"/>
        <w:tblW w:type="auto" w:w="0"/>
        <w:tblLook w:firstColumn="1" w:firstRow="1" w:lastColumn="0" w:lastRow="0" w:noHBand="0" w:noVBand="1" w:val="04A0"/>
      </w:tblPr>
      <w:tblGrid>
        <w:gridCol w:w="5760"/>
      </w:tblGrid>
      <w:tr>
        <w:tc>
          <w:tcPr>
            <w:tcW w:type="dxa" w:w="5760"/>
            <w:shd w:val="clear" w:color="auto" w:fill="EBEBEB"/>
          </w:tcPr>
          <w:p>
            <w:pPr>
              <w:jc w:val="center"/>
            </w:pPr>
            <w:r>
              <w:rPr>
                <w:b/>
                <w:color w:val="505050"/>
                <w:sz w:val="20"/>
              </w:rPr>
              <w:t>[ FIGURE 4.5 — Adapted from Thesis ]</w:t>
            </w:r>
          </w:p>
          <w:p>
            <w:pPr>
              <w:jc w:val="center"/>
            </w:pPr>
            <w:r>
              <w:rPr>
                <w:i/>
                <w:color w:val="6E6E6E"/>
                <w:sz w:val="18"/>
              </w:rPr>
              <w:t>Diagram of the VIP communication architecture showing the UDP client (Jetson) transmitting NMEA-encoded ESA messages to the UDP server (Raspberry Pi / MOOS-IvP), with encode/decode and checksum steps annotated. Adapt from Thesis Figure 3.12.</w:t>
            </w:r>
          </w:p>
        </w:tc>
      </w:tr>
    </w:tbl>
    <w:p>
      <w:pPr>
        <w:spacing w:before="60" w:after="240"/>
        <w:jc w:val="center"/>
      </w:pPr>
      <w:r>
        <w:rPr>
          <w:rFonts w:ascii="Times New Roman" w:hAnsi="Times New Roman"/>
          <w:i/>
          <w:sz w:val="20"/>
        </w:rPr>
        <w:t>Figure 4.5. VIP communication architecture: NMEA-encoded obstacle data transmitted via UDP from the perception node to the MOOS-IvP autonomy controller.</w:t>
      </w:r>
    </w:p>
    <w:p>
      <w:pPr>
        <w:pStyle w:val="Heading3"/>
      </w:pPr>
      <w:r>
        <w:t>NMEA Data Encoding and Transmission</w:t>
      </w:r>
    </w:p>
    <w:p>
      <w:r>
        <w:rPr>
          <w:rFonts w:ascii="Times New Roman" w:hAnsi="Times New Roman"/>
          <w:sz w:val="22"/>
        </w:rPr>
        <w:t>VIP encodes each detected obstacle as an NMEA-formatted ASCII sentence transmitted via UDP. The format of each sentence is:</w:t>
      </w:r>
    </w:p>
    <w:p>
      <w:pPr>
        <w:spacing w:before="80" w:after="80"/>
        <w:ind w:left="432"/>
      </w:pPr>
      <w:r>
        <w:rPr>
          <w:rFonts w:ascii="Courier New" w:hAnsi="Courier New"/>
          <w:sz w:val="18"/>
        </w:rPr>
        <w:t>$ODOBJ,&lt;TOD&gt;,&lt;CIO&gt;,&lt;id&gt;,&lt;x&gt;,&lt;y&gt;,&lt;W&gt;,&lt;H&gt;,&lt;L&gt;,&lt;D&gt;*&lt;cc&gt;CRLF</w:t>
        <w:br/>
      </w:r>
    </w:p>
    <w:p>
      <w:r>
        <w:rPr>
          <w:rFonts w:ascii="Times New Roman" w:hAnsi="Times New Roman"/>
          <w:sz w:val="22"/>
        </w:rPr>
        <w:t>where the fields carry the following meanings:</w:t>
      </w:r>
    </w:p>
    <w:p>
      <w:pPr>
        <w:spacing w:before="240" w:after="60"/>
      </w:pPr>
    </w:p>
    <w:tbl>
      <w:tblPr>
        <w:tblStyle w:val="TableGrid"/>
        <w:tblW w:type="auto" w:w="0"/>
        <w:tblLook w:firstColumn="1" w:firstRow="1" w:lastColumn="0" w:lastRow="0" w:noHBand="0" w:noVBand="1" w:val="04A0"/>
      </w:tblPr>
      <w:tblGrid>
        <w:gridCol w:w="2880"/>
        <w:gridCol w:w="2880"/>
      </w:tblGrid>
      <w:tr>
        <w:tc>
          <w:tcPr>
            <w:tcW w:type="dxa" w:w="2880"/>
            <w:shd w:val="clear" w:color="auto" w:fill="CCCCCC"/>
          </w:tcPr>
          <w:p>
            <w:r>
              <w:rPr>
                <w:rFonts w:ascii="Times New Roman" w:hAnsi="Times New Roman"/>
                <w:b/>
                <w:sz w:val="20"/>
              </w:rPr>
              <w:t>Field</w:t>
            </w:r>
          </w:p>
        </w:tc>
        <w:tc>
          <w:tcPr>
            <w:tcW w:type="dxa" w:w="2880"/>
            <w:shd w:val="clear" w:color="auto" w:fill="CCCCCC"/>
          </w:tcPr>
          <w:p>
            <w:r>
              <w:rPr>
                <w:rFonts w:ascii="Times New Roman" w:hAnsi="Times New Roman"/>
                <w:b/>
                <w:sz w:val="20"/>
              </w:rPr>
              <w:t>Description</w:t>
            </w:r>
          </w:p>
        </w:tc>
      </w:tr>
      <w:tr>
        <w:tc>
          <w:tcPr>
            <w:tcW w:type="dxa" w:w="2880"/>
          </w:tcPr>
          <w:p>
            <w:r>
              <w:rPr>
                <w:rFonts w:ascii="Courier New" w:hAnsi="Courier New"/>
                <w:sz w:val="20"/>
              </w:rPr>
              <w:t>$ODOBJ</w:t>
            </w:r>
          </w:p>
        </w:tc>
        <w:tc>
          <w:tcPr>
            <w:tcW w:type="dxa" w:w="2880"/>
          </w:tcPr>
          <w:p>
            <w:r>
              <w:rPr>
                <w:rFonts w:ascii="Times New Roman" w:hAnsi="Times New Roman"/>
                <w:sz w:val="20"/>
              </w:rPr>
              <w:t>Sentence identifier (Object Detection — OBJect)</w:t>
            </w:r>
          </w:p>
        </w:tc>
      </w:tr>
      <w:tr>
        <w:tc>
          <w:tcPr>
            <w:tcW w:type="dxa" w:w="2880"/>
          </w:tcPr>
          <w:p>
            <w:r>
              <w:rPr>
                <w:rFonts w:ascii="Courier New" w:hAnsi="Courier New"/>
                <w:sz w:val="20"/>
              </w:rPr>
              <w:t>TOD</w:t>
            </w:r>
          </w:p>
        </w:tc>
        <w:tc>
          <w:tcPr>
            <w:tcW w:type="dxa" w:w="2880"/>
          </w:tcPr>
          <w:p>
            <w:r>
              <w:rPr>
                <w:rFonts w:ascii="Times New Roman" w:hAnsi="Times New Roman"/>
                <w:sz w:val="20"/>
              </w:rPr>
              <w:t>Total number of objects detected in the current frame</w:t>
            </w:r>
          </w:p>
        </w:tc>
      </w:tr>
      <w:tr>
        <w:tc>
          <w:tcPr>
            <w:tcW w:type="dxa" w:w="2880"/>
          </w:tcPr>
          <w:p>
            <w:r>
              <w:rPr>
                <w:rFonts w:ascii="Courier New" w:hAnsi="Courier New"/>
                <w:sz w:val="20"/>
              </w:rPr>
              <w:t>CIO</w:t>
            </w:r>
          </w:p>
        </w:tc>
        <w:tc>
          <w:tcPr>
            <w:tcW w:type="dxa" w:w="2880"/>
          </w:tcPr>
          <w:p>
            <w:r>
              <w:rPr>
                <w:rFonts w:ascii="Times New Roman" w:hAnsi="Times New Roman"/>
                <w:sz w:val="20"/>
              </w:rPr>
              <w:t>Current object index (1-indexed)</w:t>
            </w:r>
          </w:p>
        </w:tc>
      </w:tr>
      <w:tr>
        <w:tc>
          <w:tcPr>
            <w:tcW w:type="dxa" w:w="2880"/>
          </w:tcPr>
          <w:p>
            <w:r>
              <w:rPr>
                <w:rFonts w:ascii="Courier New" w:hAnsi="Courier New"/>
                <w:sz w:val="20"/>
              </w:rPr>
              <w:t>id</w:t>
            </w:r>
          </w:p>
        </w:tc>
        <w:tc>
          <w:tcPr>
            <w:tcW w:type="dxa" w:w="2880"/>
          </w:tcPr>
          <w:p>
            <w:r>
              <w:rPr>
                <w:rFonts w:ascii="Times New Roman" w:hAnsi="Times New Roman"/>
                <w:sz w:val="20"/>
              </w:rPr>
              <w:t>Object tracking identifier</w:t>
            </w:r>
          </w:p>
        </w:tc>
      </w:tr>
      <w:tr>
        <w:tc>
          <w:tcPr>
            <w:tcW w:type="dxa" w:w="2880"/>
          </w:tcPr>
          <w:p>
            <w:r>
              <w:rPr>
                <w:rFonts w:ascii="Courier New" w:hAnsi="Courier New"/>
                <w:sz w:val="20"/>
              </w:rPr>
              <w:t>x</w:t>
            </w:r>
            <w:r>
              <w:rPr>
                <w:rFonts w:ascii="Times New Roman" w:hAnsi="Times New Roman"/>
                <w:sz w:val="20"/>
              </w:rPr>
              <w:t xml:space="preserve">, </w:t>
            </w:r>
            <w:r>
              <w:rPr>
                <w:rFonts w:ascii="Courier New" w:hAnsi="Courier New"/>
                <w:sz w:val="20"/>
              </w:rPr>
              <w:t>y</w:t>
            </w:r>
          </w:p>
        </w:tc>
        <w:tc>
          <w:tcPr>
            <w:tcW w:type="dxa" w:w="2880"/>
          </w:tcPr>
          <w:p>
            <w:r>
              <w:rPr>
                <w:rFonts w:ascii="Times New Roman" w:hAnsi="Times New Roman"/>
                <w:sz w:val="20"/>
              </w:rPr>
              <w:t>Top-left origin coordinates of the object in metres</w:t>
            </w:r>
          </w:p>
        </w:tc>
      </w:tr>
      <w:tr>
        <w:tc>
          <w:tcPr>
            <w:tcW w:type="dxa" w:w="2880"/>
          </w:tcPr>
          <w:p>
            <w:r>
              <w:rPr>
                <w:rFonts w:ascii="Courier New" w:hAnsi="Courier New"/>
                <w:sz w:val="20"/>
              </w:rPr>
              <w:t>W</w:t>
            </w:r>
            <w:r>
              <w:rPr>
                <w:rFonts w:ascii="Times New Roman" w:hAnsi="Times New Roman"/>
                <w:sz w:val="20"/>
              </w:rPr>
              <w:t xml:space="preserve">, </w:t>
            </w:r>
            <w:r>
              <w:rPr>
                <w:rFonts w:ascii="Courier New" w:hAnsi="Courier New"/>
                <w:sz w:val="20"/>
              </w:rPr>
              <w:t>H</w:t>
            </w:r>
            <w:r>
              <w:rPr>
                <w:rFonts w:ascii="Times New Roman" w:hAnsi="Times New Roman"/>
                <w:sz w:val="20"/>
              </w:rPr>
              <w:t xml:space="preserve">, </w:t>
            </w:r>
            <w:r>
              <w:rPr>
                <w:rFonts w:ascii="Courier New" w:hAnsi="Courier New"/>
                <w:sz w:val="20"/>
              </w:rPr>
              <w:t>L</w:t>
            </w:r>
          </w:p>
        </w:tc>
        <w:tc>
          <w:tcPr>
            <w:tcW w:type="dxa" w:w="2880"/>
          </w:tcPr>
          <w:p>
            <w:r>
              <w:rPr>
                <w:rFonts w:ascii="Times New Roman" w:hAnsi="Times New Roman"/>
                <w:sz w:val="20"/>
              </w:rPr>
              <w:t>Object width, height, and length in metres</w:t>
            </w:r>
          </w:p>
        </w:tc>
      </w:tr>
      <w:tr>
        <w:tc>
          <w:tcPr>
            <w:tcW w:type="dxa" w:w="2880"/>
          </w:tcPr>
          <w:p>
            <w:r>
              <w:rPr>
                <w:rFonts w:ascii="Courier New" w:hAnsi="Courier New"/>
                <w:sz w:val="20"/>
              </w:rPr>
              <w:t>D</w:t>
            </w:r>
          </w:p>
        </w:tc>
        <w:tc>
          <w:tcPr>
            <w:tcW w:type="dxa" w:w="2880"/>
          </w:tcPr>
          <w:p>
            <w:r>
              <w:rPr>
                <w:rFonts w:ascii="Times New Roman" w:hAnsi="Times New Roman"/>
                <w:sz w:val="20"/>
              </w:rPr>
              <w:t>Distance from the sensor to the object centre in metres</w:t>
            </w:r>
          </w:p>
        </w:tc>
      </w:tr>
      <w:tr>
        <w:tc>
          <w:tcPr>
            <w:tcW w:type="dxa" w:w="2880"/>
          </w:tcPr>
          <w:p>
            <w:r>
              <w:rPr>
                <w:rFonts w:ascii="Courier New" w:hAnsi="Courier New"/>
                <w:sz w:val="20"/>
              </w:rPr>
              <w:t>cc</w:t>
            </w:r>
          </w:p>
        </w:tc>
        <w:tc>
          <w:tcPr>
            <w:tcW w:type="dxa" w:w="2880"/>
          </w:tcPr>
          <w:p>
            <w:r>
              <w:rPr>
                <w:rFonts w:ascii="Times New Roman" w:hAnsi="Times New Roman"/>
                <w:sz w:val="20"/>
              </w:rPr>
              <w:t xml:space="preserve">XOR checksum of all characters between </w:t>
            </w:r>
            <w:r>
              <w:rPr>
                <w:rFonts w:ascii="Courier New" w:hAnsi="Courier New"/>
                <w:sz w:val="20"/>
              </w:rPr>
              <w:t>$</w:t>
            </w:r>
            <w:r>
              <w:rPr>
                <w:rFonts w:ascii="Times New Roman" w:hAnsi="Times New Roman"/>
                <w:sz w:val="20"/>
              </w:rPr>
              <w:t xml:space="preserve"> and </w:t>
            </w:r>
            <w:r>
              <w:rPr>
                <w:rFonts w:ascii="Courier New" w:hAnsi="Courier New"/>
                <w:sz w:val="20"/>
              </w:rPr>
              <w:t>*</w:t>
            </w:r>
            <w:r>
              <w:rPr>
                <w:rFonts w:ascii="Times New Roman" w:hAnsi="Times New Roman"/>
                <w:sz w:val="20"/>
              </w:rPr>
              <w:t xml:space="preserve"> (hexadecimal)</w:t>
            </w:r>
          </w:p>
        </w:tc>
      </w:tr>
      <w:tr>
        <w:tc>
          <w:tcPr>
            <w:tcW w:type="dxa" w:w="2880"/>
          </w:tcPr>
          <w:p>
            <w:r>
              <w:rPr>
                <w:rFonts w:ascii="Courier New" w:hAnsi="Courier New"/>
                <w:sz w:val="20"/>
              </w:rPr>
              <w:t>CRLF</w:t>
            </w:r>
          </w:p>
        </w:tc>
        <w:tc>
          <w:tcPr>
            <w:tcW w:type="dxa" w:w="2880"/>
          </w:tcPr>
          <w:p>
            <w:r>
              <w:rPr>
                <w:rFonts w:ascii="Times New Roman" w:hAnsi="Times New Roman"/>
                <w:sz w:val="20"/>
              </w:rPr>
              <w:t>Newline characters</w:t>
            </w:r>
          </w:p>
        </w:tc>
      </w:tr>
    </w:tbl>
    <w:p>
      <w:pPr>
        <w:spacing w:after="120"/>
      </w:pPr>
    </w:p>
    <w:p>
      <w:r>
        <w:rPr>
          <w:rFonts w:ascii="Times New Roman" w:hAnsi="Times New Roman"/>
          <w:sz w:val="22"/>
        </w:rPr>
        <w:t>Each line is constrained to 80 ASCII characters, maintaining compatibility with standard NMEA parsers. The checksum is computed as the bitwise XOR of all character codes between the delimiter pair, providing a lightweight data integrity verification mechanism that does not introduce noticeable latency into the real-time stream.</w:t>
      </w:r>
    </w:p>
    <w:p>
      <w:r>
        <w:rPr>
          <w:rFonts w:ascii="Times New Roman" w:hAnsi="Times New Roman"/>
          <w:sz w:val="22"/>
        </w:rPr>
        <w:t>Bounding box coordinates are first converted from corner-pair format $(x_1, y_1, x_2, y_2)$ to centre-width format:</w:t>
      </w:r>
    </w:p>
    <w:p>
      <w:pPr>
        <w:spacing w:before="120" w:after="120"/>
        <w:jc w:val="center"/>
      </w:pPr>
      <w:r>
        <w:rPr>
          <w:rFonts w:ascii="Times New Roman" w:hAnsi="Times New Roman"/>
          <w:i/>
          <w:sz w:val="22"/>
        </w:rPr>
        <w:t>x, y, w, h = xyxy2xywh(x_1, y_1, x_2, y_2)</w:t>
      </w:r>
      <w:r>
        <w:t xml:space="preserve">   (4.10)</w:t>
      </w:r>
    </w:p>
    <w:p>
      <w:r>
        <w:rPr>
          <w:rFonts w:ascii="Times New Roman" w:hAnsi="Times New Roman"/>
          <w:sz w:val="22"/>
        </w:rPr>
        <w:t>and then normalised by image dimensions $(W, H)$:</w:t>
      </w:r>
    </w:p>
    <w:p>
      <w:pPr>
        <w:spacing w:before="120" w:after="120"/>
        <w:jc w:val="center"/>
      </w:pPr>
      <w:r>
        <w:rPr>
          <w:rFonts w:ascii="Times New Roman" w:hAnsi="Times New Roman"/>
          <w:i/>
          <w:sz w:val="22"/>
        </w:rPr>
        <w:t>B'_i = (x_{}W,\ y_{}H,\ x_{}W,\ y_{}H)</w:t>
      </w:r>
      <w:r>
        <w:t xml:space="preserve">   (4.11)</w:t>
      </w:r>
    </w:p>
    <w:p>
      <w:r>
        <w:rPr>
          <w:rFonts w:ascii="Times New Roman" w:hAnsi="Times New Roman"/>
          <w:sz w:val="22"/>
        </w:rPr>
        <w:t>before transmission, ensuring that the coordinate representation remains resolution-independent and directly interpretable by the MOOS-IvP obstacle manager.</w:t>
      </w:r>
    </w:p>
    <w:p>
      <w:pPr>
        <w:pStyle w:val="Heading2"/>
      </w:pPr>
      <w:r>
        <w:t>Maritime Object Detection: The MariCute Series and the MFLD Dataset</w:t>
      </w:r>
    </w:p>
    <w:p>
      <w:pPr>
        <w:pStyle w:val="Heading3"/>
      </w:pPr>
      <w:r>
        <w:t>The Maritime Federated Large Dataset</w:t>
      </w:r>
    </w:p>
    <w:p>
      <w:r>
        <w:rPr>
          <w:rFonts w:ascii="Times New Roman" w:hAnsi="Times New Roman"/>
          <w:sz w:val="22"/>
        </w:rPr>
        <w:t xml:space="preserve">A consistent finding in the maritime computer vision literature is that object detection models trained on a single public dataset generalise poorly when deployed in environments with different viewpoints, lighting conditions, or vessel types — a phenomenon broadly termed </w:t>
      </w:r>
      <w:r>
        <w:rPr>
          <w:rFonts w:ascii="Times New Roman" w:hAnsi="Times New Roman"/>
          <w:i/>
          <w:sz w:val="22"/>
        </w:rPr>
        <w:t>domain shift</w:t>
      </w:r>
      <w:r>
        <w:rPr>
          <w:rFonts w:ascii="Times New Roman" w:hAnsi="Times New Roman"/>
          <w:sz w:val="22"/>
        </w:rPr>
        <w:t>. The SeaShip dataset (Shao et al., 2018), for instance, provides high-quality side-view images of large vessels but lacks close-range frontal perspectives characteristic of USV onboard cameras. The Singapore Maritime Dataset (SMD), while more diverse in object categories, was collected from fixed shore-based cameras and does not adequately represent the viewing geometry of a low-mounted, forward-facing sensor aboard a moving vessel.</w:t>
      </w:r>
    </w:p>
    <w:p>
      <w:r>
        <w:rPr>
          <w:rFonts w:ascii="Times New Roman" w:hAnsi="Times New Roman"/>
          <w:sz w:val="22"/>
        </w:rPr>
        <w:t xml:space="preserve">To address this gap, the </w:t>
      </w:r>
      <w:r>
        <w:rPr>
          <w:rFonts w:ascii="Times New Roman" w:hAnsi="Times New Roman"/>
          <w:b/>
          <w:sz w:val="22"/>
        </w:rPr>
        <w:t>Maritime Federated Large Dataset (MFLD)</w:t>
      </w:r>
      <w:r>
        <w:rPr>
          <w:rFonts w:ascii="Times New Roman" w:hAnsi="Times New Roman"/>
          <w:sz w:val="22"/>
        </w:rPr>
        <w:t xml:space="preserve"> was constructed by consolidating and re-annotating samples from SeaShip (7,000 images), SMD (6,350 images), and COCO (3,025 boat-class images), yielding 16,375 labelled images in a unified annotation schema. The creation process involved three principal operations: frame extraction from SMD video sequences (every fifth frame, to balance coverage and redundancy); class consolidation through a custom </w:t>
      </w:r>
      <w:r>
        <w:rPr>
          <w:rFonts w:ascii="Times New Roman" w:hAnsi="Times New Roman"/>
          <w:i/>
          <w:sz w:val="22"/>
        </w:rPr>
        <w:t>Class Mapper</w:t>
      </w:r>
      <w:r>
        <w:rPr>
          <w:rFonts w:ascii="Times New Roman" w:hAnsi="Times New Roman"/>
          <w:sz w:val="22"/>
        </w:rPr>
        <w:t>, which unified the multiple vessel-type labels used across source datasets into operationally relevant categories; and label normalisation, which converted all annotations to a common Darknet-compatible format (Alhattab et al., 2023).</w:t>
      </w:r>
    </w:p>
    <w:p>
      <w:r>
        <w:rPr>
          <w:rFonts w:ascii="Times New Roman" w:hAnsi="Times New Roman"/>
          <w:sz w:val="22"/>
        </w:rPr>
        <w:t>The class unification applied a mapping function:</w:t>
      </w:r>
    </w:p>
    <w:p>
      <w:pPr>
        <w:spacing w:before="120" w:after="120"/>
        <w:jc w:val="center"/>
      </w:pPr>
      <w:r>
        <w:rPr>
          <w:rFonts w:ascii="Times New Roman" w:hAnsi="Times New Roman"/>
          <w:i/>
          <w:sz w:val="22"/>
        </w:rPr>
        <w:t>C'_i = f_map(C_i)</w:t>
      </w:r>
      <w:r>
        <w:t xml:space="preserve">   (4.12)</w:t>
      </w:r>
    </w:p>
    <w:p>
      <w:r>
        <w:rPr>
          <w:rFonts w:ascii="Times New Roman" w:hAnsi="Times New Roman"/>
          <w:sz w:val="22"/>
        </w:rPr>
        <w:t>that transforms source-specific class labels $C_i$ into the unified target class set. Together with normalised bounding boxes $B'_i$ and source identifiers $D'_i$, the final unified annotation set is defined as:</w:t>
      </w:r>
    </w:p>
    <w:p>
      <w:pPr>
        <w:spacing w:before="120" w:after="120"/>
        <w:jc w:val="center"/>
      </w:pPr>
      <w:r>
        <w:rPr>
          <w:rFonts w:ascii="Times New Roman" w:hAnsi="Times New Roman"/>
          <w:i/>
          <w:sz w:val="22"/>
        </w:rPr>
        <w:t>A_unified = \(C'_i,\ B'_i,\ D'_i)\_i=1^N</w:t>
      </w:r>
      <w:r>
        <w:t xml:space="preserve">   (4.13)</w:t>
      </w:r>
    </w:p>
    <w:p>
      <w:r>
        <w:rPr>
          <w:rFonts w:ascii="Times New Roman" w:hAnsi="Times New Roman"/>
          <w:sz w:val="22"/>
        </w:rPr>
        <w:t xml:space="preserve">MFLD was subsequently extended to a second version — MFLD-2 — incorporating four operationally relevant classes: </w:t>
      </w:r>
      <w:r>
        <w:rPr>
          <w:rFonts w:ascii="Times New Roman" w:hAnsi="Times New Roman"/>
          <w:i/>
          <w:sz w:val="22"/>
        </w:rPr>
        <w:t>boat</w:t>
      </w:r>
      <w:r>
        <w:rPr>
          <w:rFonts w:ascii="Times New Roman" w:hAnsi="Times New Roman"/>
          <w:sz w:val="22"/>
        </w:rPr>
        <w:t xml:space="preserve">, </w:t>
      </w:r>
      <w:r>
        <w:rPr>
          <w:rFonts w:ascii="Times New Roman" w:hAnsi="Times New Roman"/>
          <w:i/>
          <w:sz w:val="22"/>
        </w:rPr>
        <w:t>buoy</w:t>
      </w:r>
      <w:r>
        <w:rPr>
          <w:rFonts w:ascii="Times New Roman" w:hAnsi="Times New Roman"/>
          <w:sz w:val="22"/>
        </w:rPr>
        <w:t xml:space="preserve">, </w:t>
      </w:r>
      <w:r>
        <w:rPr>
          <w:rFonts w:ascii="Times New Roman" w:hAnsi="Times New Roman"/>
          <w:i/>
          <w:sz w:val="22"/>
        </w:rPr>
        <w:t>person</w:t>
      </w:r>
      <w:r>
        <w:rPr>
          <w:rFonts w:ascii="Times New Roman" w:hAnsi="Times New Roman"/>
          <w:sz w:val="22"/>
        </w:rPr>
        <w:t xml:space="preserve">, and </w:t>
      </w:r>
      <w:r>
        <w:rPr>
          <w:rFonts w:ascii="Times New Roman" w:hAnsi="Times New Roman"/>
          <w:i/>
          <w:sz w:val="22"/>
        </w:rPr>
        <w:t>other</w:t>
      </w:r>
      <w:r>
        <w:rPr>
          <w:rFonts w:ascii="Times New Roman" w:hAnsi="Times New Roman"/>
          <w:sz w:val="22"/>
        </w:rPr>
        <w:t>. This expanded taxonomy better reflects the obstacle diversity encountered in real USV deployments, particularly in mixed-use waterways where kayakers, swimmers, and floating debris may all constitute collision hazards.</w:t>
      </w:r>
    </w:p>
    <w:tbl>
      <w:tblPr>
        <w:tblStyle w:val="TableGrid"/>
        <w:tblW w:type="auto" w:w="0"/>
        <w:tblLook w:firstColumn="1" w:firstRow="1" w:lastColumn="0" w:lastRow="0" w:noHBand="0" w:noVBand="1" w:val="04A0"/>
      </w:tblPr>
      <w:tblGrid>
        <w:gridCol w:w="5760"/>
      </w:tblGrid>
      <w:tr>
        <w:tc>
          <w:tcPr>
            <w:tcW w:type="dxa" w:w="5760"/>
            <w:shd w:val="clear" w:color="auto" w:fill="EBEBEB"/>
          </w:tcPr>
          <w:p>
            <w:pPr>
              <w:jc w:val="center"/>
            </w:pPr>
            <w:r>
              <w:rPr>
                <w:b/>
                <w:color w:val="505050"/>
                <w:sz w:val="20"/>
              </w:rPr>
              <w:t>[ FIGURE 4.6 — Adapted from Thesis ]</w:t>
            </w:r>
          </w:p>
          <w:p>
            <w:pPr>
              <w:jc w:val="center"/>
            </w:pPr>
            <w:r>
              <w:rPr>
                <w:i/>
                <w:color w:val="6E6E6E"/>
                <w:sz w:val="18"/>
              </w:rPr>
              <w:t>A diagram illustrating the MFLD construction pipeline: source dataset ingestion → frame extraction → Class Mapper → Label Converter → unified annotation output. Adapt from Thesis Figure 4.12.</w:t>
            </w:r>
          </w:p>
        </w:tc>
      </w:tr>
    </w:tbl>
    <w:p>
      <w:pPr>
        <w:spacing w:before="60" w:after="240"/>
        <w:jc w:val="center"/>
      </w:pPr>
      <w:r>
        <w:rPr>
          <w:rFonts w:ascii="Times New Roman" w:hAnsi="Times New Roman"/>
          <w:i/>
          <w:sz w:val="20"/>
        </w:rPr>
        <w:t>Figure 4.6. The MFLD dataset construction pipeline, integrating SeaShip, SMD, and COCO sources into a unified multi-domain maritime annotation corpus.</w:t>
      </w:r>
    </w:p>
    <w:p>
      <w:pPr>
        <w:spacing w:before="240" w:after="60"/>
      </w:pPr>
    </w:p>
    <w:tbl>
      <w:tblPr>
        <w:tblStyle w:val="TableGrid"/>
        <w:tblW w:type="auto" w:w="0"/>
        <w:tblLook w:firstColumn="1" w:firstRow="1" w:lastColumn="0" w:lastRow="0" w:noHBand="0" w:noVBand="1" w:val="04A0"/>
      </w:tblPr>
      <w:tblGrid>
        <w:gridCol w:w="1440"/>
        <w:gridCol w:w="1440"/>
        <w:gridCol w:w="1440"/>
        <w:gridCol w:w="1440"/>
      </w:tblGrid>
      <w:tr>
        <w:tc>
          <w:tcPr>
            <w:tcW w:type="dxa" w:w="1440"/>
            <w:shd w:val="clear" w:color="auto" w:fill="CCCCCC"/>
          </w:tcPr>
          <w:p>
            <w:r>
              <w:rPr>
                <w:rFonts w:ascii="Times New Roman" w:hAnsi="Times New Roman"/>
                <w:b/>
                <w:sz w:val="20"/>
              </w:rPr>
              <w:t>Attribute</w:t>
            </w:r>
          </w:p>
        </w:tc>
        <w:tc>
          <w:tcPr>
            <w:tcW w:type="dxa" w:w="1440"/>
            <w:shd w:val="clear" w:color="auto" w:fill="CCCCCC"/>
          </w:tcPr>
          <w:p>
            <w:r>
              <w:rPr>
                <w:rFonts w:ascii="Times New Roman" w:hAnsi="Times New Roman"/>
                <w:b/>
                <w:sz w:val="20"/>
              </w:rPr>
              <w:t>SMD</w:t>
            </w:r>
          </w:p>
        </w:tc>
        <w:tc>
          <w:tcPr>
            <w:tcW w:type="dxa" w:w="1440"/>
            <w:shd w:val="clear" w:color="auto" w:fill="CCCCCC"/>
          </w:tcPr>
          <w:p>
            <w:r>
              <w:rPr>
                <w:rFonts w:ascii="Times New Roman" w:hAnsi="Times New Roman"/>
                <w:b/>
                <w:sz w:val="20"/>
              </w:rPr>
              <w:t>SeaShip</w:t>
            </w:r>
          </w:p>
        </w:tc>
        <w:tc>
          <w:tcPr>
            <w:tcW w:type="dxa" w:w="1440"/>
            <w:shd w:val="clear" w:color="auto" w:fill="CCCCCC"/>
          </w:tcPr>
          <w:p>
            <w:r>
              <w:rPr>
                <w:rFonts w:ascii="Times New Roman" w:hAnsi="Times New Roman"/>
                <w:b/>
                <w:sz w:val="20"/>
              </w:rPr>
              <w:t>MFLD</w:t>
            </w:r>
          </w:p>
        </w:tc>
      </w:tr>
      <w:tr>
        <w:tc>
          <w:tcPr>
            <w:tcW w:type="dxa" w:w="1440"/>
          </w:tcPr>
          <w:p>
            <w:r>
              <w:rPr>
                <w:rFonts w:ascii="Times New Roman" w:hAnsi="Times New Roman"/>
                <w:sz w:val="20"/>
              </w:rPr>
              <w:t>Purpose</w:t>
            </w:r>
          </w:p>
        </w:tc>
        <w:tc>
          <w:tcPr>
            <w:tcW w:type="dxa" w:w="1440"/>
          </w:tcPr>
          <w:p>
            <w:r>
              <w:rPr>
                <w:rFonts w:ascii="Times New Roman" w:hAnsi="Times New Roman"/>
                <w:sz w:val="20"/>
              </w:rPr>
              <w:t>Maritime environment detection</w:t>
            </w:r>
          </w:p>
        </w:tc>
        <w:tc>
          <w:tcPr>
            <w:tcW w:type="dxa" w:w="1440"/>
          </w:tcPr>
          <w:p>
            <w:r>
              <w:rPr>
                <w:rFonts w:ascii="Times New Roman" w:hAnsi="Times New Roman"/>
                <w:sz w:val="20"/>
              </w:rPr>
              <w:t>Ship object detection</w:t>
            </w:r>
          </w:p>
        </w:tc>
        <w:tc>
          <w:tcPr>
            <w:tcW w:type="dxa" w:w="1440"/>
          </w:tcPr>
          <w:p>
            <w:r>
              <w:rPr>
                <w:rFonts w:ascii="Times New Roman" w:hAnsi="Times New Roman"/>
                <w:sz w:val="20"/>
              </w:rPr>
              <w:t>Unified maritime environment</w:t>
            </w:r>
          </w:p>
        </w:tc>
      </w:tr>
      <w:tr>
        <w:tc>
          <w:tcPr>
            <w:tcW w:type="dxa" w:w="1440"/>
          </w:tcPr>
          <w:p>
            <w:r>
              <w:rPr>
                <w:rFonts w:ascii="Times New Roman" w:hAnsi="Times New Roman"/>
                <w:sz w:val="20"/>
              </w:rPr>
              <w:t>Modality</w:t>
            </w:r>
          </w:p>
        </w:tc>
        <w:tc>
          <w:tcPr>
            <w:tcW w:type="dxa" w:w="1440"/>
          </w:tcPr>
          <w:p>
            <w:r>
              <w:rPr>
                <w:rFonts w:ascii="Times New Roman" w:hAnsi="Times New Roman"/>
                <w:sz w:val="20"/>
              </w:rPr>
              <w:t>NIR, RGB</w:t>
            </w:r>
          </w:p>
        </w:tc>
        <w:tc>
          <w:tcPr>
            <w:tcW w:type="dxa" w:w="1440"/>
          </w:tcPr>
          <w:p>
            <w:r>
              <w:rPr>
                <w:rFonts w:ascii="Times New Roman" w:hAnsi="Times New Roman"/>
                <w:sz w:val="20"/>
              </w:rPr>
              <w:t>RGB</w:t>
            </w:r>
          </w:p>
        </w:tc>
        <w:tc>
          <w:tcPr>
            <w:tcW w:type="dxa" w:w="1440"/>
          </w:tcPr>
          <w:p>
            <w:r>
              <w:rPr>
                <w:rFonts w:ascii="Times New Roman" w:hAnsi="Times New Roman"/>
                <w:sz w:val="20"/>
              </w:rPr>
              <w:t>NIR, RGB</w:t>
            </w:r>
          </w:p>
        </w:tc>
      </w:tr>
      <w:tr>
        <w:tc>
          <w:tcPr>
            <w:tcW w:type="dxa" w:w="1440"/>
          </w:tcPr>
          <w:p>
            <w:r>
              <w:rPr>
                <w:rFonts w:ascii="Times New Roman" w:hAnsi="Times New Roman"/>
                <w:sz w:val="20"/>
              </w:rPr>
              <w:t>Published format</w:t>
            </w:r>
          </w:p>
        </w:tc>
        <w:tc>
          <w:tcPr>
            <w:tcW w:type="dxa" w:w="1440"/>
          </w:tcPr>
          <w:p>
            <w:r>
              <w:rPr>
                <w:rFonts w:ascii="Times New Roman" w:hAnsi="Times New Roman"/>
                <w:sz w:val="20"/>
              </w:rPr>
              <w:t>Videos</w:t>
            </w:r>
          </w:p>
        </w:tc>
        <w:tc>
          <w:tcPr>
            <w:tcW w:type="dxa" w:w="1440"/>
          </w:tcPr>
          <w:p>
            <w:r>
              <w:rPr>
                <w:rFonts w:ascii="Times New Roman" w:hAnsi="Times New Roman"/>
                <w:sz w:val="20"/>
              </w:rPr>
              <w:t>Images</w:t>
            </w:r>
          </w:p>
        </w:tc>
        <w:tc>
          <w:tcPr>
            <w:tcW w:type="dxa" w:w="1440"/>
          </w:tcPr>
          <w:p>
            <w:r>
              <w:rPr>
                <w:rFonts w:ascii="Times New Roman" w:hAnsi="Times New Roman"/>
                <w:sz w:val="20"/>
              </w:rPr>
              <w:t>Videos and images</w:t>
            </w:r>
          </w:p>
        </w:tc>
      </w:tr>
      <w:tr>
        <w:tc>
          <w:tcPr>
            <w:tcW w:type="dxa" w:w="1440"/>
          </w:tcPr>
          <w:p>
            <w:r>
              <w:rPr>
                <w:rFonts w:ascii="Times New Roman" w:hAnsi="Times New Roman"/>
                <w:sz w:val="20"/>
              </w:rPr>
              <w:t>Annotation format</w:t>
            </w:r>
          </w:p>
        </w:tc>
        <w:tc>
          <w:tcPr>
            <w:tcW w:type="dxa" w:w="1440"/>
          </w:tcPr>
          <w:p>
            <w:r>
              <w:rPr>
                <w:rFonts w:ascii="Times New Roman" w:hAnsi="Times New Roman"/>
                <w:sz w:val="20"/>
              </w:rPr>
              <w:t>XML</w:t>
            </w:r>
          </w:p>
        </w:tc>
        <w:tc>
          <w:tcPr>
            <w:tcW w:type="dxa" w:w="1440"/>
          </w:tcPr>
          <w:p>
            <w:r>
              <w:rPr>
                <w:rFonts w:ascii="Times New Roman" w:hAnsi="Times New Roman"/>
                <w:sz w:val="20"/>
              </w:rPr>
              <w:t>Darknet</w:t>
            </w:r>
          </w:p>
        </w:tc>
        <w:tc>
          <w:tcPr>
            <w:tcW w:type="dxa" w:w="1440"/>
          </w:tcPr>
          <w:p>
            <w:r>
              <w:rPr>
                <w:rFonts w:ascii="Times New Roman" w:hAnsi="Times New Roman"/>
                <w:sz w:val="20"/>
              </w:rPr>
              <w:t>Unified (Darknet-compatible)</w:t>
            </w:r>
          </w:p>
        </w:tc>
      </w:tr>
      <w:tr>
        <w:tc>
          <w:tcPr>
            <w:tcW w:type="dxa" w:w="1440"/>
          </w:tcPr>
          <w:p>
            <w:r>
              <w:rPr>
                <w:rFonts w:ascii="Times New Roman" w:hAnsi="Times New Roman"/>
                <w:sz w:val="20"/>
              </w:rPr>
              <w:t>Number of images</w:t>
            </w:r>
          </w:p>
        </w:tc>
        <w:tc>
          <w:tcPr>
            <w:tcW w:type="dxa" w:w="1440"/>
          </w:tcPr>
          <w:p>
            <w:r>
              <w:rPr>
                <w:rFonts w:ascii="Times New Roman" w:hAnsi="Times New Roman"/>
                <w:sz w:val="20"/>
              </w:rPr>
              <w:t>6,350</w:t>
            </w:r>
          </w:p>
        </w:tc>
        <w:tc>
          <w:tcPr>
            <w:tcW w:type="dxa" w:w="1440"/>
          </w:tcPr>
          <w:p>
            <w:r>
              <w:rPr>
                <w:rFonts w:ascii="Times New Roman" w:hAnsi="Times New Roman"/>
                <w:sz w:val="20"/>
              </w:rPr>
              <w:t>7,000</w:t>
            </w:r>
          </w:p>
        </w:tc>
        <w:tc>
          <w:tcPr>
            <w:tcW w:type="dxa" w:w="1440"/>
          </w:tcPr>
          <w:p>
            <w:r>
              <w:rPr>
                <w:rFonts w:ascii="Times New Roman" w:hAnsi="Times New Roman"/>
                <w:sz w:val="20"/>
              </w:rPr>
              <w:t>16,375</w:t>
            </w:r>
          </w:p>
        </w:tc>
      </w:tr>
      <w:tr>
        <w:tc>
          <w:tcPr>
            <w:tcW w:type="dxa" w:w="1440"/>
          </w:tcPr>
          <w:p>
            <w:r>
              <w:rPr>
                <w:rFonts w:ascii="Times New Roman" w:hAnsi="Times New Roman"/>
                <w:sz w:val="20"/>
              </w:rPr>
              <w:t>Object categories</w:t>
            </w:r>
          </w:p>
        </w:tc>
        <w:tc>
          <w:tcPr>
            <w:tcW w:type="dxa" w:w="1440"/>
          </w:tcPr>
          <w:p>
            <w:r>
              <w:rPr>
                <w:rFonts w:ascii="Times New Roman" w:hAnsi="Times New Roman"/>
                <w:sz w:val="20"/>
              </w:rPr>
              <w:t>9</w:t>
            </w:r>
          </w:p>
        </w:tc>
        <w:tc>
          <w:tcPr>
            <w:tcW w:type="dxa" w:w="1440"/>
          </w:tcPr>
          <w:p>
            <w:r>
              <w:rPr>
                <w:rFonts w:ascii="Times New Roman" w:hAnsi="Times New Roman"/>
                <w:sz w:val="20"/>
              </w:rPr>
              <w:t>6</w:t>
            </w:r>
          </w:p>
        </w:tc>
        <w:tc>
          <w:tcPr>
            <w:tcW w:type="dxa" w:w="1440"/>
          </w:tcPr>
          <w:p>
            <w:r>
              <w:rPr>
                <w:rFonts w:ascii="Times New Roman" w:hAnsi="Times New Roman"/>
                <w:sz w:val="20"/>
              </w:rPr>
              <w:t>1–4 (unified)</w:t>
            </w:r>
          </w:p>
        </w:tc>
      </w:tr>
    </w:tbl>
    <w:p>
      <w:pPr>
        <w:spacing w:after="120"/>
      </w:pPr>
    </w:p>
    <w:p>
      <w:pPr>
        <w:pStyle w:val="Heading3"/>
      </w:pPr>
      <w:r>
        <w:t>The MariCute Detector Series</w:t>
      </w:r>
    </w:p>
    <w:p>
      <w:r>
        <w:rPr>
          <w:rFonts w:ascii="Times New Roman" w:hAnsi="Times New Roman"/>
          <w:sz w:val="22"/>
        </w:rPr>
        <w:t>YOLOv5 was selected as the base detection architecture for this system following comparative evaluation against SSD, Faster R-CNN, and YOLOv8. The selection was guided primarily by the inference speed constraints of the Jetson AGX Xavier platform and the requirement for real-time performance at 30 Hz. YOLOv5s — the small variant — provides a favourable balance between model size (approximately 14 M parameters) and detection accuracy, making it deployable on the Jetson without frame rate compromises during full-system operation.</w:t>
      </w:r>
    </w:p>
    <w:p>
      <w:r>
        <w:rPr>
          <w:rFonts w:ascii="Times New Roman" w:hAnsi="Times New Roman"/>
          <w:sz w:val="22"/>
        </w:rPr>
        <w:t xml:space="preserve">The </w:t>
      </w:r>
      <w:r>
        <w:rPr>
          <w:rFonts w:ascii="Times New Roman" w:hAnsi="Times New Roman"/>
          <w:b/>
          <w:sz w:val="22"/>
        </w:rPr>
        <w:t>MariCute</w:t>
      </w:r>
      <w:r>
        <w:rPr>
          <w:rFonts w:ascii="Times New Roman" w:hAnsi="Times New Roman"/>
          <w:sz w:val="22"/>
        </w:rPr>
        <w:t xml:space="preserve"> detector series represents a progression of YOLOv5-based models trained specifically for maritime environments:</w:t>
      </w:r>
    </w:p>
    <w:p>
      <w:r>
        <w:rPr>
          <w:rFonts w:ascii="Times New Roman" w:hAnsi="Times New Roman"/>
          <w:sz w:val="22"/>
        </w:rPr>
        <w:t xml:space="preserve">- </w:t>
      </w:r>
      <w:r>
        <w:rPr>
          <w:rFonts w:ascii="Times New Roman" w:hAnsi="Times New Roman"/>
          <w:b/>
          <w:sz w:val="22"/>
        </w:rPr>
        <w:t>MariCute-v1</w:t>
      </w:r>
      <w:r>
        <w:rPr>
          <w:rFonts w:ascii="Times New Roman" w:hAnsi="Times New Roman"/>
          <w:sz w:val="22"/>
        </w:rPr>
        <w:t xml:space="preserve"> was trained on MFLD (single-class, unified "boat" label) and benchmarked against the SeaShip dataset. - </w:t>
      </w:r>
      <w:r>
        <w:rPr>
          <w:rFonts w:ascii="Times New Roman" w:hAnsi="Times New Roman"/>
          <w:b/>
          <w:sz w:val="22"/>
        </w:rPr>
        <w:t>MariCute-v2</w:t>
      </w:r>
      <w:r>
        <w:rPr>
          <w:rFonts w:ascii="Times New Roman" w:hAnsi="Times New Roman"/>
          <w:sz w:val="22"/>
        </w:rPr>
        <w:t xml:space="preserve"> incorporated SMD training data, extending the detector's performance on in-harbour and waterway scenarios. - </w:t>
      </w:r>
      <w:r>
        <w:rPr>
          <w:rFonts w:ascii="Times New Roman" w:hAnsi="Times New Roman"/>
          <w:b/>
          <w:sz w:val="22"/>
        </w:rPr>
        <w:t>MariCute-v3</w:t>
      </w:r>
      <w:r>
        <w:rPr>
          <w:rFonts w:ascii="Times New Roman" w:hAnsi="Times New Roman"/>
          <w:sz w:val="22"/>
        </w:rPr>
        <w:t xml:space="preserve"> introduced cross-domain federated training using MFLDv3, achieving the strongest generalisation across both SeaShip and SMD evaluation domains.</w:t>
      </w:r>
    </w:p>
    <w:p>
      <w:r>
        <w:rPr>
          <w:rFonts w:ascii="Times New Roman" w:hAnsi="Times New Roman"/>
          <w:sz w:val="22"/>
        </w:rPr>
        <w:t>Training employed 640 × 640 input resolution (512 × 512 for MFLD-2 experiments), 100 epochs, batch size 16, learning rate 0.001, and weight decay 0.0005. Weights were initialised from COCO-pretrained YOLOv5s checkpoints and fine-tuned on the federated maritime data.</w:t>
      </w:r>
    </w:p>
    <w:p>
      <w:pPr>
        <w:pStyle w:val="Heading3"/>
      </w:pPr>
      <w:r>
        <w:t>Detection Performance Evaluation</w:t>
      </w:r>
    </w:p>
    <w:p>
      <w:r>
        <w:rPr>
          <w:rFonts w:ascii="Times New Roman" w:hAnsi="Times New Roman"/>
          <w:b/>
          <w:sz w:val="22"/>
        </w:rPr>
        <w:t>Performance on individual datasets.</w:t>
      </w:r>
      <w:r>
        <w:rPr>
          <w:rFonts w:ascii="Times New Roman" w:hAnsi="Times New Roman"/>
          <w:sz w:val="22"/>
        </w:rPr>
        <w:t xml:space="preserve"> YOLOv5s trained on SeaShip achieved a mean Average Precision at IoU threshold 0.5 (mAP@0.5) of 98.8% across six vessel categories (Table 4.2), with the highest per-class precision observed for container ships (99.8%) and passenger vessels (99.3%). The performance advantage reflects the dataset's high intra-class visual consistency. Training on SMD produced comparable aggregate results (mAP@0.5 = 99.3%), with per-class scores above 98% for all nine object categories (Table 4.3).</w:t>
      </w:r>
    </w:p>
    <w:p>
      <w:pPr>
        <w:spacing w:before="240" w:after="60"/>
      </w:pPr>
    </w:p>
    <w:tbl>
      <w:tblPr>
        <w:tblStyle w:val="TableGrid"/>
        <w:tblW w:type="auto" w:w="0"/>
        <w:tblLook w:firstColumn="1" w:firstRow="1" w:lastColumn="0" w:lastRow="0" w:noHBand="0" w:noVBand="1" w:val="04A0"/>
      </w:tblPr>
      <w:tblGrid>
        <w:gridCol w:w="1440"/>
        <w:gridCol w:w="1440"/>
        <w:gridCol w:w="1440"/>
        <w:gridCol w:w="1440"/>
      </w:tblGrid>
      <w:tr>
        <w:tc>
          <w:tcPr>
            <w:tcW w:type="dxa" w:w="1440"/>
            <w:shd w:val="clear" w:color="auto" w:fill="CCCCCC"/>
          </w:tcPr>
          <w:p>
            <w:r>
              <w:rPr>
                <w:rFonts w:ascii="Times New Roman" w:hAnsi="Times New Roman"/>
                <w:b/>
                <w:sz w:val="20"/>
              </w:rPr>
              <w:t>Vessel Type</w:t>
            </w:r>
          </w:p>
        </w:tc>
        <w:tc>
          <w:tcPr>
            <w:tcW w:type="dxa" w:w="1440"/>
            <w:shd w:val="clear" w:color="auto" w:fill="CCCCCC"/>
          </w:tcPr>
          <w:p>
            <w:r>
              <w:rPr>
                <w:rFonts w:ascii="Times New Roman" w:hAnsi="Times New Roman"/>
                <w:b/>
                <w:sz w:val="20"/>
              </w:rPr>
              <w:t>Precision</w:t>
            </w:r>
          </w:p>
        </w:tc>
        <w:tc>
          <w:tcPr>
            <w:tcW w:type="dxa" w:w="1440"/>
            <w:shd w:val="clear" w:color="auto" w:fill="CCCCCC"/>
          </w:tcPr>
          <w:p>
            <w:r>
              <w:rPr>
                <w:rFonts w:ascii="Times New Roman" w:hAnsi="Times New Roman"/>
                <w:b/>
                <w:sz w:val="20"/>
              </w:rPr>
              <w:t>Recall</w:t>
            </w:r>
          </w:p>
        </w:tc>
        <w:tc>
          <w:tcPr>
            <w:tcW w:type="dxa" w:w="1440"/>
            <w:shd w:val="clear" w:color="auto" w:fill="CCCCCC"/>
          </w:tcPr>
          <w:p>
            <w:r>
              <w:rPr>
                <w:rFonts w:ascii="Times New Roman" w:hAnsi="Times New Roman"/>
                <w:b/>
                <w:sz w:val="20"/>
              </w:rPr>
              <w:t>mAP@0.5</w:t>
            </w:r>
          </w:p>
        </w:tc>
      </w:tr>
      <w:tr>
        <w:tc>
          <w:tcPr>
            <w:tcW w:type="dxa" w:w="1440"/>
          </w:tcPr>
          <w:p>
            <w:r>
              <w:rPr>
                <w:rFonts w:ascii="Times New Roman" w:hAnsi="Times New Roman"/>
                <w:sz w:val="20"/>
              </w:rPr>
              <w:t>Container Ship</w:t>
            </w:r>
          </w:p>
        </w:tc>
        <w:tc>
          <w:tcPr>
            <w:tcW w:type="dxa" w:w="1440"/>
          </w:tcPr>
          <w:p>
            <w:r>
              <w:rPr>
                <w:rFonts w:ascii="Times New Roman" w:hAnsi="Times New Roman"/>
                <w:sz w:val="20"/>
              </w:rPr>
              <w:t>0.998</w:t>
            </w:r>
          </w:p>
        </w:tc>
        <w:tc>
          <w:tcPr>
            <w:tcW w:type="dxa" w:w="1440"/>
          </w:tcPr>
          <w:p>
            <w:r>
              <w:rPr>
                <w:rFonts w:ascii="Times New Roman" w:hAnsi="Times New Roman"/>
                <w:sz w:val="20"/>
              </w:rPr>
              <w:t>0.993</w:t>
            </w:r>
          </w:p>
        </w:tc>
        <w:tc>
          <w:tcPr>
            <w:tcW w:type="dxa" w:w="1440"/>
          </w:tcPr>
          <w:p>
            <w:r>
              <w:rPr>
                <w:rFonts w:ascii="Times New Roman" w:hAnsi="Times New Roman"/>
                <w:sz w:val="20"/>
              </w:rPr>
              <w:t>0.996</w:t>
            </w:r>
          </w:p>
        </w:tc>
      </w:tr>
      <w:tr>
        <w:tc>
          <w:tcPr>
            <w:tcW w:type="dxa" w:w="1440"/>
          </w:tcPr>
          <w:p>
            <w:r>
              <w:rPr>
                <w:rFonts w:ascii="Times New Roman" w:hAnsi="Times New Roman"/>
                <w:sz w:val="20"/>
              </w:rPr>
              <w:t>General Cargo Ship</w:t>
            </w:r>
          </w:p>
        </w:tc>
        <w:tc>
          <w:tcPr>
            <w:tcW w:type="dxa" w:w="1440"/>
          </w:tcPr>
          <w:p>
            <w:r>
              <w:rPr>
                <w:rFonts w:ascii="Times New Roman" w:hAnsi="Times New Roman"/>
                <w:sz w:val="20"/>
              </w:rPr>
              <w:t>0.994</w:t>
            </w:r>
          </w:p>
        </w:tc>
        <w:tc>
          <w:tcPr>
            <w:tcW w:type="dxa" w:w="1440"/>
          </w:tcPr>
          <w:p>
            <w:r>
              <w:rPr>
                <w:rFonts w:ascii="Times New Roman" w:hAnsi="Times New Roman"/>
                <w:sz w:val="20"/>
              </w:rPr>
              <w:t>0.992</w:t>
            </w:r>
          </w:p>
        </w:tc>
        <w:tc>
          <w:tcPr>
            <w:tcW w:type="dxa" w:w="1440"/>
          </w:tcPr>
          <w:p>
            <w:r>
              <w:rPr>
                <w:rFonts w:ascii="Times New Roman" w:hAnsi="Times New Roman"/>
                <w:sz w:val="20"/>
              </w:rPr>
              <w:t>0.994</w:t>
            </w:r>
          </w:p>
        </w:tc>
      </w:tr>
      <w:tr>
        <w:tc>
          <w:tcPr>
            <w:tcW w:type="dxa" w:w="1440"/>
          </w:tcPr>
          <w:p>
            <w:r>
              <w:rPr>
                <w:rFonts w:ascii="Times New Roman" w:hAnsi="Times New Roman"/>
                <w:sz w:val="20"/>
              </w:rPr>
              <w:t>Ore Carrier</w:t>
            </w:r>
          </w:p>
        </w:tc>
        <w:tc>
          <w:tcPr>
            <w:tcW w:type="dxa" w:w="1440"/>
          </w:tcPr>
          <w:p>
            <w:r>
              <w:rPr>
                <w:rFonts w:ascii="Times New Roman" w:hAnsi="Times New Roman"/>
                <w:sz w:val="20"/>
              </w:rPr>
              <w:t>0.986</w:t>
            </w:r>
          </w:p>
        </w:tc>
        <w:tc>
          <w:tcPr>
            <w:tcW w:type="dxa" w:w="1440"/>
          </w:tcPr>
          <w:p>
            <w:r>
              <w:rPr>
                <w:rFonts w:ascii="Times New Roman" w:hAnsi="Times New Roman"/>
                <w:sz w:val="20"/>
              </w:rPr>
              <w:t>0.981</w:t>
            </w:r>
          </w:p>
        </w:tc>
        <w:tc>
          <w:tcPr>
            <w:tcW w:type="dxa" w:w="1440"/>
          </w:tcPr>
          <w:p>
            <w:r>
              <w:rPr>
                <w:rFonts w:ascii="Times New Roman" w:hAnsi="Times New Roman"/>
                <w:sz w:val="20"/>
              </w:rPr>
              <w:t>0.983</w:t>
            </w:r>
          </w:p>
        </w:tc>
      </w:tr>
      <w:tr>
        <w:tc>
          <w:tcPr>
            <w:tcW w:type="dxa" w:w="1440"/>
          </w:tcPr>
          <w:p>
            <w:r>
              <w:rPr>
                <w:rFonts w:ascii="Times New Roman" w:hAnsi="Times New Roman"/>
                <w:sz w:val="20"/>
              </w:rPr>
              <w:t>Bulk Cargo Carrier</w:t>
            </w:r>
          </w:p>
        </w:tc>
        <w:tc>
          <w:tcPr>
            <w:tcW w:type="dxa" w:w="1440"/>
          </w:tcPr>
          <w:p>
            <w:r>
              <w:rPr>
                <w:rFonts w:ascii="Times New Roman" w:hAnsi="Times New Roman"/>
                <w:sz w:val="20"/>
              </w:rPr>
              <w:t>0.981</w:t>
            </w:r>
          </w:p>
        </w:tc>
        <w:tc>
          <w:tcPr>
            <w:tcW w:type="dxa" w:w="1440"/>
          </w:tcPr>
          <w:p>
            <w:r>
              <w:rPr>
                <w:rFonts w:ascii="Times New Roman" w:hAnsi="Times New Roman"/>
                <w:sz w:val="20"/>
              </w:rPr>
              <w:t>0.979</w:t>
            </w:r>
          </w:p>
        </w:tc>
        <w:tc>
          <w:tcPr>
            <w:tcW w:type="dxa" w:w="1440"/>
          </w:tcPr>
          <w:p>
            <w:r>
              <w:rPr>
                <w:rFonts w:ascii="Times New Roman" w:hAnsi="Times New Roman"/>
                <w:sz w:val="20"/>
              </w:rPr>
              <w:t>0.980</w:t>
            </w:r>
          </w:p>
        </w:tc>
      </w:tr>
      <w:tr>
        <w:tc>
          <w:tcPr>
            <w:tcW w:type="dxa" w:w="1440"/>
          </w:tcPr>
          <w:p>
            <w:r>
              <w:rPr>
                <w:rFonts w:ascii="Times New Roman" w:hAnsi="Times New Roman"/>
                <w:sz w:val="20"/>
              </w:rPr>
              <w:t>Passenger Ship</w:t>
            </w:r>
          </w:p>
        </w:tc>
        <w:tc>
          <w:tcPr>
            <w:tcW w:type="dxa" w:w="1440"/>
          </w:tcPr>
          <w:p>
            <w:r>
              <w:rPr>
                <w:rFonts w:ascii="Times New Roman" w:hAnsi="Times New Roman"/>
                <w:sz w:val="20"/>
              </w:rPr>
              <w:t>0.993</w:t>
            </w:r>
          </w:p>
        </w:tc>
        <w:tc>
          <w:tcPr>
            <w:tcW w:type="dxa" w:w="1440"/>
          </w:tcPr>
          <w:p>
            <w:r>
              <w:rPr>
                <w:rFonts w:ascii="Times New Roman" w:hAnsi="Times New Roman"/>
                <w:sz w:val="20"/>
              </w:rPr>
              <w:t>0.991</w:t>
            </w:r>
          </w:p>
        </w:tc>
        <w:tc>
          <w:tcPr>
            <w:tcW w:type="dxa" w:w="1440"/>
          </w:tcPr>
          <w:p>
            <w:r>
              <w:rPr>
                <w:rFonts w:ascii="Times New Roman" w:hAnsi="Times New Roman"/>
                <w:sz w:val="20"/>
              </w:rPr>
              <w:t>0.992</w:t>
            </w:r>
          </w:p>
        </w:tc>
      </w:tr>
      <w:tr>
        <w:tc>
          <w:tcPr>
            <w:tcW w:type="dxa" w:w="1440"/>
          </w:tcPr>
          <w:p>
            <w:r>
              <w:rPr>
                <w:rFonts w:ascii="Times New Roman" w:hAnsi="Times New Roman"/>
                <w:sz w:val="20"/>
              </w:rPr>
              <w:t>Fishing Boat</w:t>
            </w:r>
          </w:p>
        </w:tc>
        <w:tc>
          <w:tcPr>
            <w:tcW w:type="dxa" w:w="1440"/>
          </w:tcPr>
          <w:p>
            <w:r>
              <w:rPr>
                <w:rFonts w:ascii="Times New Roman" w:hAnsi="Times New Roman"/>
                <w:sz w:val="20"/>
              </w:rPr>
              <w:t>0.985</w:t>
            </w:r>
          </w:p>
        </w:tc>
        <w:tc>
          <w:tcPr>
            <w:tcW w:type="dxa" w:w="1440"/>
          </w:tcPr>
          <w:p>
            <w:r>
              <w:rPr>
                <w:rFonts w:ascii="Times New Roman" w:hAnsi="Times New Roman"/>
                <w:sz w:val="20"/>
              </w:rPr>
              <w:t>0.980</w:t>
            </w:r>
          </w:p>
        </w:tc>
        <w:tc>
          <w:tcPr>
            <w:tcW w:type="dxa" w:w="1440"/>
          </w:tcPr>
          <w:p>
            <w:r>
              <w:rPr>
                <w:rFonts w:ascii="Times New Roman" w:hAnsi="Times New Roman"/>
                <w:sz w:val="20"/>
              </w:rPr>
              <w:t>0.982</w:t>
            </w:r>
          </w:p>
        </w:tc>
      </w:tr>
      <w:tr>
        <w:tc>
          <w:tcPr>
            <w:tcW w:type="dxa" w:w="1440"/>
          </w:tcPr>
          <w:p>
            <w:r>
              <w:rPr>
                <w:rFonts w:ascii="Times New Roman" w:hAnsi="Times New Roman"/>
                <w:b/>
                <w:sz w:val="20"/>
              </w:rPr>
              <w:t>All classes (avg.)</w:t>
            </w:r>
          </w:p>
        </w:tc>
        <w:tc>
          <w:tcPr>
            <w:tcW w:type="dxa" w:w="1440"/>
          </w:tcPr>
          <w:p>
            <w:r>
              <w:rPr>
                <w:rFonts w:ascii="Times New Roman" w:hAnsi="Times New Roman"/>
                <w:b/>
                <w:sz w:val="20"/>
              </w:rPr>
              <w:t>0.989</w:t>
            </w:r>
          </w:p>
        </w:tc>
        <w:tc>
          <w:tcPr>
            <w:tcW w:type="dxa" w:w="1440"/>
          </w:tcPr>
          <w:p>
            <w:r>
              <w:rPr>
                <w:rFonts w:ascii="Times New Roman" w:hAnsi="Times New Roman"/>
                <w:b/>
                <w:sz w:val="20"/>
              </w:rPr>
              <w:t>0.986</w:t>
            </w:r>
          </w:p>
        </w:tc>
        <w:tc>
          <w:tcPr>
            <w:tcW w:type="dxa" w:w="1440"/>
          </w:tcPr>
          <w:p>
            <w:r>
              <w:rPr>
                <w:rFonts w:ascii="Times New Roman" w:hAnsi="Times New Roman"/>
                <w:b/>
                <w:sz w:val="20"/>
              </w:rPr>
              <w:t>0.988</w:t>
            </w:r>
          </w:p>
        </w:tc>
      </w:tr>
    </w:tbl>
    <w:p>
      <w:pPr>
        <w:spacing w:after="120"/>
      </w:pPr>
    </w:p>
    <w:p>
      <w:pPr>
        <w:spacing w:before="240" w:after="60"/>
      </w:pPr>
    </w:p>
    <w:tbl>
      <w:tblPr>
        <w:tblStyle w:val="TableGrid"/>
        <w:tblW w:type="auto" w:w="0"/>
        <w:tblLook w:firstColumn="1" w:firstRow="1" w:lastColumn="0" w:lastRow="0" w:noHBand="0" w:noVBand="1" w:val="04A0"/>
      </w:tblPr>
      <w:tblGrid>
        <w:gridCol w:w="1440"/>
        <w:gridCol w:w="1440"/>
        <w:gridCol w:w="1440"/>
        <w:gridCol w:w="1440"/>
      </w:tblGrid>
      <w:tr>
        <w:tc>
          <w:tcPr>
            <w:tcW w:type="dxa" w:w="1440"/>
            <w:shd w:val="clear" w:color="auto" w:fill="CCCCCC"/>
          </w:tcPr>
          <w:p>
            <w:r>
              <w:rPr>
                <w:rFonts w:ascii="Times New Roman" w:hAnsi="Times New Roman"/>
                <w:b/>
                <w:sz w:val="20"/>
              </w:rPr>
              <w:t>Class</w:t>
            </w:r>
          </w:p>
        </w:tc>
        <w:tc>
          <w:tcPr>
            <w:tcW w:type="dxa" w:w="1440"/>
            <w:shd w:val="clear" w:color="auto" w:fill="CCCCCC"/>
          </w:tcPr>
          <w:p>
            <w:r>
              <w:rPr>
                <w:rFonts w:ascii="Times New Roman" w:hAnsi="Times New Roman"/>
                <w:b/>
                <w:sz w:val="20"/>
              </w:rPr>
              <w:t>Precision</w:t>
            </w:r>
          </w:p>
        </w:tc>
        <w:tc>
          <w:tcPr>
            <w:tcW w:type="dxa" w:w="1440"/>
            <w:shd w:val="clear" w:color="auto" w:fill="CCCCCC"/>
          </w:tcPr>
          <w:p>
            <w:r>
              <w:rPr>
                <w:rFonts w:ascii="Times New Roman" w:hAnsi="Times New Roman"/>
                <w:b/>
                <w:sz w:val="20"/>
              </w:rPr>
              <w:t>Recall</w:t>
            </w:r>
          </w:p>
        </w:tc>
        <w:tc>
          <w:tcPr>
            <w:tcW w:type="dxa" w:w="1440"/>
            <w:shd w:val="clear" w:color="auto" w:fill="CCCCCC"/>
          </w:tcPr>
          <w:p>
            <w:r>
              <w:rPr>
                <w:rFonts w:ascii="Times New Roman" w:hAnsi="Times New Roman"/>
                <w:b/>
                <w:sz w:val="20"/>
              </w:rPr>
              <w:t>mAP@0.5</w:t>
            </w:r>
          </w:p>
        </w:tc>
      </w:tr>
      <w:tr>
        <w:tc>
          <w:tcPr>
            <w:tcW w:type="dxa" w:w="1440"/>
          </w:tcPr>
          <w:p>
            <w:r>
              <w:rPr>
                <w:rFonts w:ascii="Times New Roman" w:hAnsi="Times New Roman"/>
                <w:sz w:val="20"/>
              </w:rPr>
              <w:t>Buoy</w:t>
            </w:r>
          </w:p>
        </w:tc>
        <w:tc>
          <w:tcPr>
            <w:tcW w:type="dxa" w:w="1440"/>
          </w:tcPr>
          <w:p>
            <w:r>
              <w:rPr>
                <w:rFonts w:ascii="Times New Roman" w:hAnsi="Times New Roman"/>
                <w:sz w:val="20"/>
              </w:rPr>
              <w:t>0.997</w:t>
            </w:r>
          </w:p>
        </w:tc>
        <w:tc>
          <w:tcPr>
            <w:tcW w:type="dxa" w:w="1440"/>
          </w:tcPr>
          <w:p>
            <w:r>
              <w:rPr>
                <w:rFonts w:ascii="Times New Roman" w:hAnsi="Times New Roman"/>
                <w:sz w:val="20"/>
              </w:rPr>
              <w:t>0.998</w:t>
            </w:r>
          </w:p>
        </w:tc>
        <w:tc>
          <w:tcPr>
            <w:tcW w:type="dxa" w:w="1440"/>
          </w:tcPr>
          <w:p>
            <w:r>
              <w:rPr>
                <w:rFonts w:ascii="Times New Roman" w:hAnsi="Times New Roman"/>
                <w:sz w:val="20"/>
              </w:rPr>
              <w:t>0.997</w:t>
            </w:r>
          </w:p>
        </w:tc>
      </w:tr>
      <w:tr>
        <w:tc>
          <w:tcPr>
            <w:tcW w:type="dxa" w:w="1440"/>
          </w:tcPr>
          <w:p>
            <w:r>
              <w:rPr>
                <w:rFonts w:ascii="Times New Roman" w:hAnsi="Times New Roman"/>
                <w:sz w:val="20"/>
              </w:rPr>
              <w:t>Vessel/Ship</w:t>
            </w:r>
          </w:p>
        </w:tc>
        <w:tc>
          <w:tcPr>
            <w:tcW w:type="dxa" w:w="1440"/>
          </w:tcPr>
          <w:p>
            <w:r>
              <w:rPr>
                <w:rFonts w:ascii="Times New Roman" w:hAnsi="Times New Roman"/>
                <w:sz w:val="20"/>
              </w:rPr>
              <w:t>0.997</w:t>
            </w:r>
          </w:p>
        </w:tc>
        <w:tc>
          <w:tcPr>
            <w:tcW w:type="dxa" w:w="1440"/>
          </w:tcPr>
          <w:p>
            <w:r>
              <w:rPr>
                <w:rFonts w:ascii="Times New Roman" w:hAnsi="Times New Roman"/>
                <w:sz w:val="20"/>
              </w:rPr>
              <w:t>0.998</w:t>
            </w:r>
          </w:p>
        </w:tc>
        <w:tc>
          <w:tcPr>
            <w:tcW w:type="dxa" w:w="1440"/>
          </w:tcPr>
          <w:p>
            <w:r>
              <w:rPr>
                <w:rFonts w:ascii="Times New Roman" w:hAnsi="Times New Roman"/>
                <w:sz w:val="20"/>
              </w:rPr>
              <w:t>0.997</w:t>
            </w:r>
          </w:p>
        </w:tc>
      </w:tr>
      <w:tr>
        <w:tc>
          <w:tcPr>
            <w:tcW w:type="dxa" w:w="1440"/>
          </w:tcPr>
          <w:p>
            <w:r>
              <w:rPr>
                <w:rFonts w:ascii="Times New Roman" w:hAnsi="Times New Roman"/>
                <w:sz w:val="20"/>
              </w:rPr>
              <w:t>Boat</w:t>
            </w:r>
          </w:p>
        </w:tc>
        <w:tc>
          <w:tcPr>
            <w:tcW w:type="dxa" w:w="1440"/>
          </w:tcPr>
          <w:p>
            <w:r>
              <w:rPr>
                <w:rFonts w:ascii="Times New Roman" w:hAnsi="Times New Roman"/>
                <w:sz w:val="20"/>
              </w:rPr>
              <w:t>0.997</w:t>
            </w:r>
          </w:p>
        </w:tc>
        <w:tc>
          <w:tcPr>
            <w:tcW w:type="dxa" w:w="1440"/>
          </w:tcPr>
          <w:p>
            <w:r>
              <w:rPr>
                <w:rFonts w:ascii="Times New Roman" w:hAnsi="Times New Roman"/>
                <w:sz w:val="20"/>
              </w:rPr>
              <w:t>0.998</w:t>
            </w:r>
          </w:p>
        </w:tc>
        <w:tc>
          <w:tcPr>
            <w:tcW w:type="dxa" w:w="1440"/>
          </w:tcPr>
          <w:p>
            <w:r>
              <w:rPr>
                <w:rFonts w:ascii="Times New Roman" w:hAnsi="Times New Roman"/>
                <w:sz w:val="20"/>
              </w:rPr>
              <w:t>0.997</w:t>
            </w:r>
          </w:p>
        </w:tc>
      </w:tr>
      <w:tr>
        <w:tc>
          <w:tcPr>
            <w:tcW w:type="dxa" w:w="1440"/>
          </w:tcPr>
          <w:p>
            <w:r>
              <w:rPr>
                <w:rFonts w:ascii="Times New Roman" w:hAnsi="Times New Roman"/>
                <w:sz w:val="20"/>
              </w:rPr>
              <w:t>Speed Boat</w:t>
            </w:r>
          </w:p>
        </w:tc>
        <w:tc>
          <w:tcPr>
            <w:tcW w:type="dxa" w:w="1440"/>
          </w:tcPr>
          <w:p>
            <w:r>
              <w:rPr>
                <w:rFonts w:ascii="Times New Roman" w:hAnsi="Times New Roman"/>
                <w:sz w:val="20"/>
              </w:rPr>
              <w:t>0.996</w:t>
            </w:r>
          </w:p>
        </w:tc>
        <w:tc>
          <w:tcPr>
            <w:tcW w:type="dxa" w:w="1440"/>
          </w:tcPr>
          <w:p>
            <w:r>
              <w:rPr>
                <w:rFonts w:ascii="Times New Roman" w:hAnsi="Times New Roman"/>
                <w:sz w:val="20"/>
              </w:rPr>
              <w:t>0.997</w:t>
            </w:r>
          </w:p>
        </w:tc>
        <w:tc>
          <w:tcPr>
            <w:tcW w:type="dxa" w:w="1440"/>
          </w:tcPr>
          <w:p>
            <w:r>
              <w:rPr>
                <w:rFonts w:ascii="Times New Roman" w:hAnsi="Times New Roman"/>
                <w:sz w:val="20"/>
              </w:rPr>
              <w:t>0.996</w:t>
            </w:r>
          </w:p>
        </w:tc>
      </w:tr>
      <w:tr>
        <w:tc>
          <w:tcPr>
            <w:tcW w:type="dxa" w:w="1440"/>
          </w:tcPr>
          <w:p>
            <w:r>
              <w:rPr>
                <w:rFonts w:ascii="Times New Roman" w:hAnsi="Times New Roman"/>
                <w:sz w:val="20"/>
              </w:rPr>
              <w:t>Kayak</w:t>
            </w:r>
          </w:p>
        </w:tc>
        <w:tc>
          <w:tcPr>
            <w:tcW w:type="dxa" w:w="1440"/>
          </w:tcPr>
          <w:p>
            <w:r>
              <w:rPr>
                <w:rFonts w:ascii="Times New Roman" w:hAnsi="Times New Roman"/>
                <w:sz w:val="20"/>
              </w:rPr>
              <w:t>0.996</w:t>
            </w:r>
          </w:p>
        </w:tc>
        <w:tc>
          <w:tcPr>
            <w:tcW w:type="dxa" w:w="1440"/>
          </w:tcPr>
          <w:p>
            <w:r>
              <w:rPr>
                <w:rFonts w:ascii="Times New Roman" w:hAnsi="Times New Roman"/>
                <w:sz w:val="20"/>
              </w:rPr>
              <w:t>0.997</w:t>
            </w:r>
          </w:p>
        </w:tc>
        <w:tc>
          <w:tcPr>
            <w:tcW w:type="dxa" w:w="1440"/>
          </w:tcPr>
          <w:p>
            <w:r>
              <w:rPr>
                <w:rFonts w:ascii="Times New Roman" w:hAnsi="Times New Roman"/>
                <w:sz w:val="20"/>
              </w:rPr>
              <w:t>0.996</w:t>
            </w:r>
          </w:p>
        </w:tc>
      </w:tr>
      <w:tr>
        <w:tc>
          <w:tcPr>
            <w:tcW w:type="dxa" w:w="1440"/>
          </w:tcPr>
          <w:p>
            <w:r>
              <w:rPr>
                <w:rFonts w:ascii="Times New Roman" w:hAnsi="Times New Roman"/>
                <w:sz w:val="20"/>
              </w:rPr>
              <w:t>Sailboat</w:t>
            </w:r>
          </w:p>
        </w:tc>
        <w:tc>
          <w:tcPr>
            <w:tcW w:type="dxa" w:w="1440"/>
          </w:tcPr>
          <w:p>
            <w:r>
              <w:rPr>
                <w:rFonts w:ascii="Times New Roman" w:hAnsi="Times New Roman"/>
                <w:sz w:val="20"/>
              </w:rPr>
              <w:t>0.984</w:t>
            </w:r>
          </w:p>
        </w:tc>
        <w:tc>
          <w:tcPr>
            <w:tcW w:type="dxa" w:w="1440"/>
          </w:tcPr>
          <w:p>
            <w:r>
              <w:rPr>
                <w:rFonts w:ascii="Times New Roman" w:hAnsi="Times New Roman"/>
                <w:sz w:val="20"/>
              </w:rPr>
              <w:t>0.985</w:t>
            </w:r>
          </w:p>
        </w:tc>
        <w:tc>
          <w:tcPr>
            <w:tcW w:type="dxa" w:w="1440"/>
          </w:tcPr>
          <w:p>
            <w:r>
              <w:rPr>
                <w:rFonts w:ascii="Times New Roman" w:hAnsi="Times New Roman"/>
                <w:sz w:val="20"/>
              </w:rPr>
              <w:t>0.984</w:t>
            </w:r>
          </w:p>
        </w:tc>
      </w:tr>
      <w:tr>
        <w:tc>
          <w:tcPr>
            <w:tcW w:type="dxa" w:w="1440"/>
          </w:tcPr>
          <w:p>
            <w:r>
              <w:rPr>
                <w:rFonts w:ascii="Times New Roman" w:hAnsi="Times New Roman"/>
                <w:sz w:val="20"/>
              </w:rPr>
              <w:t>Swimming Person</w:t>
            </w:r>
          </w:p>
        </w:tc>
        <w:tc>
          <w:tcPr>
            <w:tcW w:type="dxa" w:w="1440"/>
          </w:tcPr>
          <w:p>
            <w:r>
              <w:rPr>
                <w:rFonts w:ascii="Times New Roman" w:hAnsi="Times New Roman"/>
                <w:sz w:val="20"/>
              </w:rPr>
              <w:t>0.998</w:t>
            </w:r>
          </w:p>
        </w:tc>
        <w:tc>
          <w:tcPr>
            <w:tcW w:type="dxa" w:w="1440"/>
          </w:tcPr>
          <w:p>
            <w:r>
              <w:rPr>
                <w:rFonts w:ascii="Times New Roman" w:hAnsi="Times New Roman"/>
                <w:sz w:val="20"/>
              </w:rPr>
              <w:t>0.998</w:t>
            </w:r>
          </w:p>
        </w:tc>
        <w:tc>
          <w:tcPr>
            <w:tcW w:type="dxa" w:w="1440"/>
          </w:tcPr>
          <w:p>
            <w:r>
              <w:rPr>
                <w:rFonts w:ascii="Times New Roman" w:hAnsi="Times New Roman"/>
                <w:sz w:val="20"/>
              </w:rPr>
              <w:t>0.998</w:t>
            </w:r>
          </w:p>
        </w:tc>
      </w:tr>
      <w:tr>
        <w:tc>
          <w:tcPr>
            <w:tcW w:type="dxa" w:w="1440"/>
          </w:tcPr>
          <w:p>
            <w:r>
              <w:rPr>
                <w:rFonts w:ascii="Times New Roman" w:hAnsi="Times New Roman"/>
                <w:sz w:val="20"/>
              </w:rPr>
              <w:t>Flying Bird</w:t>
            </w:r>
          </w:p>
        </w:tc>
        <w:tc>
          <w:tcPr>
            <w:tcW w:type="dxa" w:w="1440"/>
          </w:tcPr>
          <w:p>
            <w:r>
              <w:rPr>
                <w:rFonts w:ascii="Times New Roman" w:hAnsi="Times New Roman"/>
                <w:sz w:val="20"/>
              </w:rPr>
              <w:t>0.982</w:t>
            </w:r>
          </w:p>
        </w:tc>
        <w:tc>
          <w:tcPr>
            <w:tcW w:type="dxa" w:w="1440"/>
          </w:tcPr>
          <w:p>
            <w:r>
              <w:rPr>
                <w:rFonts w:ascii="Times New Roman" w:hAnsi="Times New Roman"/>
                <w:sz w:val="20"/>
              </w:rPr>
              <w:t>0.983</w:t>
            </w:r>
          </w:p>
        </w:tc>
        <w:tc>
          <w:tcPr>
            <w:tcW w:type="dxa" w:w="1440"/>
          </w:tcPr>
          <w:p>
            <w:r>
              <w:rPr>
                <w:rFonts w:ascii="Times New Roman" w:hAnsi="Times New Roman"/>
                <w:sz w:val="20"/>
              </w:rPr>
              <w:t>0.982</w:t>
            </w:r>
          </w:p>
        </w:tc>
      </w:tr>
      <w:tr>
        <w:tc>
          <w:tcPr>
            <w:tcW w:type="dxa" w:w="1440"/>
          </w:tcPr>
          <w:p>
            <w:r>
              <w:rPr>
                <w:rFonts w:ascii="Times New Roman" w:hAnsi="Times New Roman"/>
                <w:b/>
                <w:sz w:val="20"/>
              </w:rPr>
              <w:t>All classes (avg.)</w:t>
            </w:r>
          </w:p>
        </w:tc>
        <w:tc>
          <w:tcPr>
            <w:tcW w:type="dxa" w:w="1440"/>
          </w:tcPr>
          <w:p>
            <w:r>
              <w:rPr>
                <w:rFonts w:ascii="Times New Roman" w:hAnsi="Times New Roman"/>
                <w:b/>
                <w:sz w:val="20"/>
              </w:rPr>
              <w:t>0.989</w:t>
            </w:r>
          </w:p>
        </w:tc>
        <w:tc>
          <w:tcPr>
            <w:tcW w:type="dxa" w:w="1440"/>
          </w:tcPr>
          <w:p>
            <w:r>
              <w:rPr>
                <w:rFonts w:ascii="Times New Roman" w:hAnsi="Times New Roman"/>
                <w:b/>
                <w:sz w:val="20"/>
              </w:rPr>
              <w:t>0.990</w:t>
            </w:r>
          </w:p>
        </w:tc>
        <w:tc>
          <w:tcPr>
            <w:tcW w:type="dxa" w:w="1440"/>
          </w:tcPr>
          <w:p>
            <w:r>
              <w:rPr>
                <w:rFonts w:ascii="Times New Roman" w:hAnsi="Times New Roman"/>
                <w:b/>
                <w:sz w:val="20"/>
              </w:rPr>
              <w:t>0.989</w:t>
            </w:r>
          </w:p>
        </w:tc>
      </w:tr>
    </w:tbl>
    <w:p>
      <w:pPr>
        <w:spacing w:after="120"/>
      </w:pPr>
    </w:p>
    <w:p>
      <w:r>
        <w:rPr>
          <w:rFonts w:ascii="Times New Roman" w:hAnsi="Times New Roman"/>
          <w:b/>
          <w:sz w:val="22"/>
        </w:rPr>
        <w:t>Performance on MFLD.</w:t>
      </w:r>
      <w:r>
        <w:rPr>
          <w:rFonts w:ascii="Times New Roman" w:hAnsi="Times New Roman"/>
          <w:sz w:val="22"/>
        </w:rPr>
        <w:t xml:space="preserve"> Across four YOLOv5 model variants trained on the federated dataset, detection accuracy scaled monotonically with model size (Table 4.4). YOLOv5l achieved the highest mAP@0.5 (98.86%), precision (99.12%), and recall (97.55%), whilst YOLOv5s delivered 96.23% mAP@0.5 with significantly lower inference latency — the deciding factor for real-time edge deployment. Upon incorporating multi-class labels in MFLD-2, the YOLOv5s model reached 99% operational detection accuracy across diverse real-world maritime conditions.</w:t>
      </w:r>
    </w:p>
    <w:p>
      <w:pPr>
        <w:spacing w:before="240" w:after="60"/>
      </w:pPr>
    </w:p>
    <w:tbl>
      <w:tblPr>
        <w:tblStyle w:val="TableGrid"/>
        <w:tblW w:type="auto" w:w="0"/>
        <w:tblLook w:firstColumn="1" w:firstRow="1" w:lastColumn="0" w:lastRow="0" w:noHBand="0" w:noVBand="1" w:val="04A0"/>
      </w:tblPr>
      <w:tblGrid>
        <w:gridCol w:w="960"/>
        <w:gridCol w:w="960"/>
        <w:gridCol w:w="960"/>
        <w:gridCol w:w="960"/>
        <w:gridCol w:w="960"/>
        <w:gridCol w:w="960"/>
      </w:tblGrid>
      <w:tr>
        <w:tc>
          <w:tcPr>
            <w:tcW w:type="dxa" w:w="960"/>
            <w:shd w:val="clear" w:color="auto" w:fill="CCCCCC"/>
          </w:tcPr>
          <w:p>
            <w:r>
              <w:rPr>
                <w:rFonts w:ascii="Times New Roman" w:hAnsi="Times New Roman"/>
                <w:b/>
                <w:sz w:val="20"/>
              </w:rPr>
              <w:t>Model</w:t>
            </w:r>
          </w:p>
        </w:tc>
        <w:tc>
          <w:tcPr>
            <w:tcW w:type="dxa" w:w="960"/>
            <w:shd w:val="clear" w:color="auto" w:fill="CCCCCC"/>
          </w:tcPr>
          <w:p>
            <w:r>
              <w:rPr>
                <w:rFonts w:ascii="Times New Roman" w:hAnsi="Times New Roman"/>
                <w:b/>
                <w:sz w:val="20"/>
              </w:rPr>
              <w:t>Precision</w:t>
            </w:r>
          </w:p>
        </w:tc>
        <w:tc>
          <w:tcPr>
            <w:tcW w:type="dxa" w:w="960"/>
            <w:shd w:val="clear" w:color="auto" w:fill="CCCCCC"/>
          </w:tcPr>
          <w:p>
            <w:r>
              <w:rPr>
                <w:rFonts w:ascii="Times New Roman" w:hAnsi="Times New Roman"/>
                <w:b/>
                <w:sz w:val="20"/>
              </w:rPr>
              <w:t>Recall</w:t>
            </w:r>
          </w:p>
        </w:tc>
        <w:tc>
          <w:tcPr>
            <w:tcW w:type="dxa" w:w="960"/>
            <w:shd w:val="clear" w:color="auto" w:fill="CCCCCC"/>
          </w:tcPr>
          <w:p>
            <w:r>
              <w:rPr>
                <w:rFonts w:ascii="Times New Roman" w:hAnsi="Times New Roman"/>
                <w:b/>
                <w:sz w:val="20"/>
              </w:rPr>
              <w:t>F1 Score</w:t>
            </w:r>
          </w:p>
        </w:tc>
        <w:tc>
          <w:tcPr>
            <w:tcW w:type="dxa" w:w="960"/>
            <w:shd w:val="clear" w:color="auto" w:fill="CCCCCC"/>
          </w:tcPr>
          <w:p>
            <w:r>
              <w:rPr>
                <w:rFonts w:ascii="Times New Roman" w:hAnsi="Times New Roman"/>
                <w:b/>
                <w:sz w:val="20"/>
              </w:rPr>
              <w:t>mAP@0.5</w:t>
            </w:r>
          </w:p>
        </w:tc>
        <w:tc>
          <w:tcPr>
            <w:tcW w:type="dxa" w:w="960"/>
            <w:shd w:val="clear" w:color="auto" w:fill="CCCCCC"/>
          </w:tcPr>
          <w:p>
            <w:r>
              <w:rPr>
                <w:rFonts w:ascii="Times New Roman" w:hAnsi="Times New Roman"/>
                <w:b/>
                <w:sz w:val="20"/>
              </w:rPr>
              <w:t>mAP@0.5:0.95</w:t>
            </w:r>
          </w:p>
        </w:tc>
      </w:tr>
      <w:tr>
        <w:tc>
          <w:tcPr>
            <w:tcW w:type="dxa" w:w="960"/>
          </w:tcPr>
          <w:p>
            <w:r>
              <w:rPr>
                <w:rFonts w:ascii="Times New Roman" w:hAnsi="Times New Roman"/>
                <w:sz w:val="20"/>
              </w:rPr>
              <w:t>YOLOv5n</w:t>
            </w:r>
          </w:p>
        </w:tc>
        <w:tc>
          <w:tcPr>
            <w:tcW w:type="dxa" w:w="960"/>
          </w:tcPr>
          <w:p>
            <w:r>
              <w:rPr>
                <w:rFonts w:ascii="Times New Roman" w:hAnsi="Times New Roman"/>
                <w:sz w:val="20"/>
              </w:rPr>
              <w:t>90.02%</w:t>
            </w:r>
          </w:p>
        </w:tc>
        <w:tc>
          <w:tcPr>
            <w:tcW w:type="dxa" w:w="960"/>
          </w:tcPr>
          <w:p>
            <w:r>
              <w:rPr>
                <w:rFonts w:ascii="Times New Roman" w:hAnsi="Times New Roman"/>
                <w:sz w:val="20"/>
              </w:rPr>
              <w:t>80.89%</w:t>
            </w:r>
          </w:p>
        </w:tc>
        <w:tc>
          <w:tcPr>
            <w:tcW w:type="dxa" w:w="960"/>
          </w:tcPr>
          <w:p>
            <w:r>
              <w:rPr>
                <w:rFonts w:ascii="Times New Roman" w:hAnsi="Times New Roman"/>
                <w:sz w:val="20"/>
              </w:rPr>
              <w:t>85.27%</w:t>
            </w:r>
          </w:p>
        </w:tc>
        <w:tc>
          <w:tcPr>
            <w:tcW w:type="dxa" w:w="960"/>
          </w:tcPr>
          <w:p>
            <w:r>
              <w:rPr>
                <w:rFonts w:ascii="Times New Roman" w:hAnsi="Times New Roman"/>
                <w:sz w:val="20"/>
              </w:rPr>
              <w:t>88.86%</w:t>
            </w:r>
          </w:p>
        </w:tc>
        <w:tc>
          <w:tcPr>
            <w:tcW w:type="dxa" w:w="960"/>
          </w:tcPr>
          <w:p>
            <w:r>
              <w:rPr>
                <w:rFonts w:ascii="Times New Roman" w:hAnsi="Times New Roman"/>
                <w:sz w:val="20"/>
              </w:rPr>
              <w:t>59.80%</w:t>
            </w:r>
          </w:p>
        </w:tc>
      </w:tr>
      <w:tr>
        <w:tc>
          <w:tcPr>
            <w:tcW w:type="dxa" w:w="960"/>
          </w:tcPr>
          <w:p>
            <w:r>
              <w:rPr>
                <w:rFonts w:ascii="Times New Roman" w:hAnsi="Times New Roman"/>
                <w:sz w:val="20"/>
              </w:rPr>
              <w:t>YOLOv5s</w:t>
            </w:r>
          </w:p>
        </w:tc>
        <w:tc>
          <w:tcPr>
            <w:tcW w:type="dxa" w:w="960"/>
          </w:tcPr>
          <w:p>
            <w:r>
              <w:rPr>
                <w:rFonts w:ascii="Times New Roman" w:hAnsi="Times New Roman"/>
                <w:sz w:val="20"/>
              </w:rPr>
              <w:t>96.71%</w:t>
            </w:r>
          </w:p>
        </w:tc>
        <w:tc>
          <w:tcPr>
            <w:tcW w:type="dxa" w:w="960"/>
          </w:tcPr>
          <w:p>
            <w:r>
              <w:rPr>
                <w:rFonts w:ascii="Times New Roman" w:hAnsi="Times New Roman"/>
                <w:sz w:val="20"/>
              </w:rPr>
              <w:t>91.62%</w:t>
            </w:r>
          </w:p>
        </w:tc>
        <w:tc>
          <w:tcPr>
            <w:tcW w:type="dxa" w:w="960"/>
          </w:tcPr>
          <w:p>
            <w:r>
              <w:rPr>
                <w:rFonts w:ascii="Times New Roman" w:hAnsi="Times New Roman"/>
                <w:sz w:val="20"/>
              </w:rPr>
              <w:t>94.11%</w:t>
            </w:r>
          </w:p>
        </w:tc>
        <w:tc>
          <w:tcPr>
            <w:tcW w:type="dxa" w:w="960"/>
          </w:tcPr>
          <w:p>
            <w:r>
              <w:rPr>
                <w:rFonts w:ascii="Times New Roman" w:hAnsi="Times New Roman"/>
                <w:sz w:val="20"/>
              </w:rPr>
              <w:t>96.23%</w:t>
            </w:r>
          </w:p>
        </w:tc>
        <w:tc>
          <w:tcPr>
            <w:tcW w:type="dxa" w:w="960"/>
          </w:tcPr>
          <w:p>
            <w:r>
              <w:rPr>
                <w:rFonts w:ascii="Times New Roman" w:hAnsi="Times New Roman"/>
                <w:sz w:val="20"/>
              </w:rPr>
              <w:t>75.56%</w:t>
            </w:r>
          </w:p>
        </w:tc>
      </w:tr>
      <w:tr>
        <w:tc>
          <w:tcPr>
            <w:tcW w:type="dxa" w:w="960"/>
          </w:tcPr>
          <w:p>
            <w:r>
              <w:rPr>
                <w:rFonts w:ascii="Times New Roman" w:hAnsi="Times New Roman"/>
                <w:sz w:val="20"/>
              </w:rPr>
              <w:t>YOLOv5m</w:t>
            </w:r>
          </w:p>
        </w:tc>
        <w:tc>
          <w:tcPr>
            <w:tcW w:type="dxa" w:w="960"/>
          </w:tcPr>
          <w:p>
            <w:r>
              <w:rPr>
                <w:rFonts w:ascii="Times New Roman" w:hAnsi="Times New Roman"/>
                <w:sz w:val="20"/>
              </w:rPr>
              <w:t>98.73%</w:t>
            </w:r>
          </w:p>
        </w:tc>
        <w:tc>
          <w:tcPr>
            <w:tcW w:type="dxa" w:w="960"/>
          </w:tcPr>
          <w:p>
            <w:r>
              <w:rPr>
                <w:rFonts w:ascii="Times New Roman" w:hAnsi="Times New Roman"/>
                <w:sz w:val="20"/>
              </w:rPr>
              <w:t>96.27%</w:t>
            </w:r>
          </w:p>
        </w:tc>
        <w:tc>
          <w:tcPr>
            <w:tcW w:type="dxa" w:w="960"/>
          </w:tcPr>
          <w:p>
            <w:r>
              <w:rPr>
                <w:rFonts w:ascii="Times New Roman" w:hAnsi="Times New Roman"/>
                <w:sz w:val="20"/>
              </w:rPr>
              <w:t>97.48%</w:t>
            </w:r>
          </w:p>
        </w:tc>
        <w:tc>
          <w:tcPr>
            <w:tcW w:type="dxa" w:w="960"/>
          </w:tcPr>
          <w:p>
            <w:r>
              <w:rPr>
                <w:rFonts w:ascii="Times New Roman" w:hAnsi="Times New Roman"/>
                <w:sz w:val="20"/>
              </w:rPr>
              <w:t>98.47%</w:t>
            </w:r>
          </w:p>
        </w:tc>
        <w:tc>
          <w:tcPr>
            <w:tcW w:type="dxa" w:w="960"/>
          </w:tcPr>
          <w:p>
            <w:r>
              <w:rPr>
                <w:rFonts w:ascii="Times New Roman" w:hAnsi="Times New Roman"/>
                <w:sz w:val="20"/>
              </w:rPr>
              <w:t>85.45%</w:t>
            </w:r>
          </w:p>
        </w:tc>
      </w:tr>
      <w:tr>
        <w:tc>
          <w:tcPr>
            <w:tcW w:type="dxa" w:w="960"/>
          </w:tcPr>
          <w:p>
            <w:r>
              <w:rPr>
                <w:rFonts w:ascii="Times New Roman" w:hAnsi="Times New Roman"/>
                <w:sz w:val="20"/>
              </w:rPr>
              <w:t>YOLOv5l</w:t>
            </w:r>
          </w:p>
        </w:tc>
        <w:tc>
          <w:tcPr>
            <w:tcW w:type="dxa" w:w="960"/>
          </w:tcPr>
          <w:p>
            <w:r>
              <w:rPr>
                <w:rFonts w:ascii="Times New Roman" w:hAnsi="Times New Roman"/>
                <w:sz w:val="20"/>
              </w:rPr>
              <w:t>99.12%</w:t>
            </w:r>
          </w:p>
        </w:tc>
        <w:tc>
          <w:tcPr>
            <w:tcW w:type="dxa" w:w="960"/>
          </w:tcPr>
          <w:p>
            <w:r>
              <w:rPr>
                <w:rFonts w:ascii="Times New Roman" w:hAnsi="Times New Roman"/>
                <w:sz w:val="20"/>
              </w:rPr>
              <w:t>97.55%</w:t>
            </w:r>
          </w:p>
        </w:tc>
        <w:tc>
          <w:tcPr>
            <w:tcW w:type="dxa" w:w="960"/>
          </w:tcPr>
          <w:p>
            <w:r>
              <w:rPr>
                <w:rFonts w:ascii="Times New Roman" w:hAnsi="Times New Roman"/>
                <w:sz w:val="20"/>
              </w:rPr>
              <w:t>98.32%</w:t>
            </w:r>
          </w:p>
        </w:tc>
        <w:tc>
          <w:tcPr>
            <w:tcW w:type="dxa" w:w="960"/>
          </w:tcPr>
          <w:p>
            <w:r>
              <w:rPr>
                <w:rFonts w:ascii="Times New Roman" w:hAnsi="Times New Roman"/>
                <w:sz w:val="20"/>
              </w:rPr>
              <w:t>98.86%</w:t>
            </w:r>
          </w:p>
        </w:tc>
        <w:tc>
          <w:tcPr>
            <w:tcW w:type="dxa" w:w="960"/>
          </w:tcPr>
          <w:p>
            <w:r>
              <w:rPr>
                <w:rFonts w:ascii="Times New Roman" w:hAnsi="Times New Roman"/>
                <w:sz w:val="20"/>
              </w:rPr>
              <w:t>89.36%</w:t>
            </w:r>
          </w:p>
        </w:tc>
      </w:tr>
    </w:tbl>
    <w:p>
      <w:pPr>
        <w:spacing w:after="120"/>
      </w:pPr>
    </w:p>
    <w:p>
      <w:r>
        <w:rPr>
          <w:rFonts w:ascii="Times New Roman" w:hAnsi="Times New Roman"/>
          <w:b/>
          <w:sz w:val="22"/>
        </w:rPr>
        <w:t>Cross-domain generalisation.</w:t>
      </w:r>
      <w:r>
        <w:rPr>
          <w:rFonts w:ascii="Times New Roman" w:hAnsi="Times New Roman"/>
          <w:sz w:val="22"/>
        </w:rPr>
        <w:t xml:space="preserve"> The practical value of the MariCute series lies not merely in high in-domain accuracy, but in its robustness when evaluated on datasets that differ from its training distribution. Table 4.5 summarises the cross-domain degradation behaviour of MariCute-V3, YOLOv8, and Faster R-CNN X101 FPN, trained in each domain and tested in the other.</w:t>
      </w:r>
    </w:p>
    <w:p>
      <w:pPr>
        <w:spacing w:before="240" w:after="60"/>
      </w:pPr>
    </w:p>
    <w:tbl>
      <w:tblPr>
        <w:tblStyle w:val="TableGrid"/>
        <w:tblW w:type="auto" w:w="0"/>
        <w:tblLook w:firstColumn="1" w:firstRow="1" w:lastColumn="0" w:lastRow="0" w:noHBand="0" w:noVBand="1" w:val="04A0"/>
      </w:tblPr>
      <w:tblGrid>
        <w:gridCol w:w="960"/>
        <w:gridCol w:w="960"/>
        <w:gridCol w:w="960"/>
        <w:gridCol w:w="960"/>
        <w:gridCol w:w="960"/>
        <w:gridCol w:w="960"/>
      </w:tblGrid>
      <w:tr>
        <w:tc>
          <w:tcPr>
            <w:tcW w:type="dxa" w:w="960"/>
            <w:shd w:val="clear" w:color="auto" w:fill="CCCCCC"/>
          </w:tcPr>
          <w:p>
            <w:r>
              <w:rPr>
                <w:rFonts w:ascii="Times New Roman" w:hAnsi="Times New Roman"/>
                <w:b/>
                <w:sz w:val="20"/>
              </w:rPr>
              <w:t>Model</w:t>
            </w:r>
          </w:p>
        </w:tc>
        <w:tc>
          <w:tcPr>
            <w:tcW w:type="dxa" w:w="960"/>
            <w:shd w:val="clear" w:color="auto" w:fill="CCCCCC"/>
          </w:tcPr>
          <w:p>
            <w:r>
              <w:rPr>
                <w:rFonts w:ascii="Times New Roman" w:hAnsi="Times New Roman"/>
                <w:b/>
                <w:sz w:val="20"/>
              </w:rPr>
              <w:t>Training → Test</w:t>
            </w:r>
          </w:p>
        </w:tc>
        <w:tc>
          <w:tcPr>
            <w:tcW w:type="dxa" w:w="960"/>
            <w:shd w:val="clear" w:color="auto" w:fill="CCCCCC"/>
          </w:tcPr>
          <w:p>
            <w:r>
              <w:rPr>
                <w:rFonts w:ascii="Times New Roman" w:hAnsi="Times New Roman"/>
                <w:b/>
                <w:sz w:val="20"/>
              </w:rPr>
              <w:t>Precision</w:t>
            </w:r>
          </w:p>
        </w:tc>
        <w:tc>
          <w:tcPr>
            <w:tcW w:type="dxa" w:w="960"/>
            <w:shd w:val="clear" w:color="auto" w:fill="CCCCCC"/>
          </w:tcPr>
          <w:p>
            <w:r>
              <w:rPr>
                <w:rFonts w:ascii="Times New Roman" w:hAnsi="Times New Roman"/>
                <w:b/>
                <w:sz w:val="20"/>
              </w:rPr>
              <w:t>Recall</w:t>
            </w:r>
          </w:p>
        </w:tc>
        <w:tc>
          <w:tcPr>
            <w:tcW w:type="dxa" w:w="960"/>
            <w:shd w:val="clear" w:color="auto" w:fill="CCCCCC"/>
          </w:tcPr>
          <w:p>
            <w:r>
              <w:rPr>
                <w:rFonts w:ascii="Times New Roman" w:hAnsi="Times New Roman"/>
                <w:b/>
                <w:sz w:val="20"/>
              </w:rPr>
              <w:t>mAP@0.5</w:t>
            </w:r>
          </w:p>
        </w:tc>
        <w:tc>
          <w:tcPr>
            <w:tcW w:type="dxa" w:w="960"/>
            <w:shd w:val="clear" w:color="auto" w:fill="CCCCCC"/>
          </w:tcPr>
          <w:p>
            <w:r>
              <w:rPr>
                <w:rFonts w:ascii="Times New Roman" w:hAnsi="Times New Roman"/>
                <w:b/>
                <w:sz w:val="20"/>
              </w:rPr>
              <w:t>Degradation</w:t>
            </w:r>
          </w:p>
        </w:tc>
      </w:tr>
      <w:tr>
        <w:tc>
          <w:tcPr>
            <w:tcW w:type="dxa" w:w="960"/>
          </w:tcPr>
          <w:p>
            <w:r>
              <w:rPr>
                <w:rFonts w:ascii="Times New Roman" w:hAnsi="Times New Roman"/>
                <w:sz w:val="20"/>
              </w:rPr>
              <w:t>YOLOv8</w:t>
            </w:r>
          </w:p>
        </w:tc>
        <w:tc>
          <w:tcPr>
            <w:tcW w:type="dxa" w:w="960"/>
          </w:tcPr>
          <w:p>
            <w:r>
              <w:rPr>
                <w:rFonts w:ascii="Times New Roman" w:hAnsi="Times New Roman"/>
                <w:sz w:val="20"/>
              </w:rPr>
              <w:t>SeaShip → SMD</w:t>
            </w:r>
          </w:p>
        </w:tc>
        <w:tc>
          <w:tcPr>
            <w:tcW w:type="dxa" w:w="960"/>
          </w:tcPr>
          <w:p>
            <w:r>
              <w:rPr>
                <w:rFonts w:ascii="Times New Roman" w:hAnsi="Times New Roman"/>
                <w:sz w:val="20"/>
              </w:rPr>
              <w:t>0.508</w:t>
            </w:r>
          </w:p>
        </w:tc>
        <w:tc>
          <w:tcPr>
            <w:tcW w:type="dxa" w:w="960"/>
          </w:tcPr>
          <w:p>
            <w:r>
              <w:rPr>
                <w:rFonts w:ascii="Times New Roman" w:hAnsi="Times New Roman"/>
                <w:sz w:val="20"/>
              </w:rPr>
              <w:t>0.301</w:t>
            </w:r>
          </w:p>
        </w:tc>
        <w:tc>
          <w:tcPr>
            <w:tcW w:type="dxa" w:w="960"/>
          </w:tcPr>
          <w:p>
            <w:r>
              <w:rPr>
                <w:rFonts w:ascii="Times New Roman" w:hAnsi="Times New Roman"/>
                <w:sz w:val="20"/>
              </w:rPr>
              <w:t>0.446</w:t>
            </w:r>
          </w:p>
        </w:tc>
        <w:tc>
          <w:tcPr>
            <w:tcW w:type="dxa" w:w="960"/>
          </w:tcPr>
          <w:p>
            <w:r>
              <w:rPr>
                <w:rFonts w:ascii="Times New Roman" w:hAnsi="Times New Roman"/>
                <w:sz w:val="20"/>
              </w:rPr>
              <w:t>Medium</w:t>
            </w:r>
          </w:p>
        </w:tc>
      </w:tr>
      <w:tr>
        <w:tc>
          <w:tcPr>
            <w:tcW w:type="dxa" w:w="960"/>
          </w:tcPr>
          <w:p>
            <w:r>
              <w:rPr>
                <w:rFonts w:ascii="Times New Roman" w:hAnsi="Times New Roman"/>
                <w:sz w:val="20"/>
              </w:rPr>
              <w:t>YOLOv8</w:t>
            </w:r>
          </w:p>
        </w:tc>
        <w:tc>
          <w:tcPr>
            <w:tcW w:type="dxa" w:w="960"/>
          </w:tcPr>
          <w:p>
            <w:r>
              <w:rPr>
                <w:rFonts w:ascii="Times New Roman" w:hAnsi="Times New Roman"/>
                <w:sz w:val="20"/>
              </w:rPr>
              <w:t>SMD → SeaShip</w:t>
            </w:r>
          </w:p>
        </w:tc>
        <w:tc>
          <w:tcPr>
            <w:tcW w:type="dxa" w:w="960"/>
          </w:tcPr>
          <w:p>
            <w:r>
              <w:rPr>
                <w:rFonts w:ascii="Times New Roman" w:hAnsi="Times New Roman"/>
                <w:sz w:val="20"/>
              </w:rPr>
              <w:t>0.167</w:t>
            </w:r>
          </w:p>
        </w:tc>
        <w:tc>
          <w:tcPr>
            <w:tcW w:type="dxa" w:w="960"/>
          </w:tcPr>
          <w:p>
            <w:r>
              <w:rPr>
                <w:rFonts w:ascii="Times New Roman" w:hAnsi="Times New Roman"/>
                <w:sz w:val="20"/>
              </w:rPr>
              <w:t>0.424</w:t>
            </w:r>
          </w:p>
        </w:tc>
        <w:tc>
          <w:tcPr>
            <w:tcW w:type="dxa" w:w="960"/>
          </w:tcPr>
          <w:p>
            <w:r>
              <w:rPr>
                <w:rFonts w:ascii="Times New Roman" w:hAnsi="Times New Roman"/>
                <w:sz w:val="20"/>
              </w:rPr>
              <w:t>0.144</w:t>
            </w:r>
          </w:p>
        </w:tc>
        <w:tc>
          <w:tcPr>
            <w:tcW w:type="dxa" w:w="960"/>
          </w:tcPr>
          <w:p>
            <w:r>
              <w:rPr>
                <w:rFonts w:ascii="Times New Roman" w:hAnsi="Times New Roman"/>
                <w:sz w:val="20"/>
              </w:rPr>
              <w:t>High (68%)</w:t>
            </w:r>
          </w:p>
        </w:tc>
      </w:tr>
      <w:tr>
        <w:tc>
          <w:tcPr>
            <w:tcW w:type="dxa" w:w="960"/>
          </w:tcPr>
          <w:p>
            <w:r>
              <w:rPr>
                <w:rFonts w:ascii="Times New Roman" w:hAnsi="Times New Roman"/>
                <w:sz w:val="20"/>
              </w:rPr>
              <w:t>RCNN X101</w:t>
            </w:r>
          </w:p>
        </w:tc>
        <w:tc>
          <w:tcPr>
            <w:tcW w:type="dxa" w:w="960"/>
          </w:tcPr>
          <w:p>
            <w:r>
              <w:rPr>
                <w:rFonts w:ascii="Times New Roman" w:hAnsi="Times New Roman"/>
                <w:sz w:val="20"/>
              </w:rPr>
              <w:t>SeaShip → SMD</w:t>
            </w:r>
          </w:p>
        </w:tc>
        <w:tc>
          <w:tcPr>
            <w:tcW w:type="dxa" w:w="960"/>
          </w:tcPr>
          <w:p>
            <w:r>
              <w:rPr>
                <w:rFonts w:ascii="Times New Roman" w:hAnsi="Times New Roman"/>
                <w:sz w:val="20"/>
              </w:rPr>
              <w:t>0.524</w:t>
            </w:r>
          </w:p>
        </w:tc>
        <w:tc>
          <w:tcPr>
            <w:tcW w:type="dxa" w:w="960"/>
          </w:tcPr>
          <w:p>
            <w:r>
              <w:rPr>
                <w:rFonts w:ascii="Times New Roman" w:hAnsi="Times New Roman"/>
                <w:sz w:val="20"/>
              </w:rPr>
              <w:t>0.483</w:t>
            </w:r>
          </w:p>
        </w:tc>
        <w:tc>
          <w:tcPr>
            <w:tcW w:type="dxa" w:w="960"/>
          </w:tcPr>
          <w:p>
            <w:r>
              <w:rPr>
                <w:rFonts w:ascii="Times New Roman" w:hAnsi="Times New Roman"/>
                <w:sz w:val="20"/>
              </w:rPr>
              <w:t>0.208</w:t>
            </w:r>
          </w:p>
        </w:tc>
        <w:tc>
          <w:tcPr>
            <w:tcW w:type="dxa" w:w="960"/>
          </w:tcPr>
          <w:p>
            <w:r>
              <w:rPr>
                <w:rFonts w:ascii="Times New Roman" w:hAnsi="Times New Roman"/>
                <w:sz w:val="20"/>
              </w:rPr>
              <w:t>High</w:t>
            </w:r>
          </w:p>
        </w:tc>
      </w:tr>
      <w:tr>
        <w:tc>
          <w:tcPr>
            <w:tcW w:type="dxa" w:w="960"/>
          </w:tcPr>
          <w:p>
            <w:r>
              <w:rPr>
                <w:rFonts w:ascii="Times New Roman" w:hAnsi="Times New Roman"/>
                <w:sz w:val="20"/>
              </w:rPr>
              <w:t>RCNN X101</w:t>
            </w:r>
          </w:p>
        </w:tc>
        <w:tc>
          <w:tcPr>
            <w:tcW w:type="dxa" w:w="960"/>
          </w:tcPr>
          <w:p>
            <w:r>
              <w:rPr>
                <w:rFonts w:ascii="Times New Roman" w:hAnsi="Times New Roman"/>
                <w:sz w:val="20"/>
              </w:rPr>
              <w:t>SMD → SeaShip</w:t>
            </w:r>
          </w:p>
        </w:tc>
        <w:tc>
          <w:tcPr>
            <w:tcW w:type="dxa" w:w="960"/>
          </w:tcPr>
          <w:p>
            <w:r>
              <w:rPr>
                <w:rFonts w:ascii="Times New Roman" w:hAnsi="Times New Roman"/>
                <w:sz w:val="20"/>
              </w:rPr>
              <w:t>0.557</w:t>
            </w:r>
          </w:p>
        </w:tc>
        <w:tc>
          <w:tcPr>
            <w:tcW w:type="dxa" w:w="960"/>
          </w:tcPr>
          <w:p>
            <w:r>
              <w:rPr>
                <w:rFonts w:ascii="Times New Roman" w:hAnsi="Times New Roman"/>
                <w:sz w:val="20"/>
              </w:rPr>
              <w:t>0.612</w:t>
            </w:r>
          </w:p>
        </w:tc>
        <w:tc>
          <w:tcPr>
            <w:tcW w:type="dxa" w:w="960"/>
          </w:tcPr>
          <w:p>
            <w:r>
              <w:rPr>
                <w:rFonts w:ascii="Times New Roman" w:hAnsi="Times New Roman"/>
                <w:sz w:val="20"/>
              </w:rPr>
              <w:t>0.312</w:t>
            </w:r>
          </w:p>
        </w:tc>
        <w:tc>
          <w:tcPr>
            <w:tcW w:type="dxa" w:w="960"/>
          </w:tcPr>
          <w:p>
            <w:r>
              <w:rPr>
                <w:rFonts w:ascii="Times New Roman" w:hAnsi="Times New Roman"/>
                <w:sz w:val="20"/>
              </w:rPr>
              <w:t>Medium (33%)</w:t>
            </w:r>
          </w:p>
        </w:tc>
      </w:tr>
      <w:tr>
        <w:tc>
          <w:tcPr>
            <w:tcW w:type="dxa" w:w="960"/>
          </w:tcPr>
          <w:p>
            <w:r>
              <w:rPr>
                <w:rFonts w:ascii="Times New Roman" w:hAnsi="Times New Roman"/>
                <w:b/>
                <w:sz w:val="20"/>
              </w:rPr>
              <w:t>MariCute-V3</w:t>
            </w:r>
          </w:p>
        </w:tc>
        <w:tc>
          <w:tcPr>
            <w:tcW w:type="dxa" w:w="960"/>
          </w:tcPr>
          <w:p>
            <w:r>
              <w:rPr>
                <w:rFonts w:ascii="Times New Roman" w:hAnsi="Times New Roman"/>
                <w:b/>
                <w:sz w:val="20"/>
              </w:rPr>
              <w:t>SeaShip → SMD</w:t>
            </w:r>
          </w:p>
        </w:tc>
        <w:tc>
          <w:tcPr>
            <w:tcW w:type="dxa" w:w="960"/>
          </w:tcPr>
          <w:p>
            <w:r>
              <w:rPr>
                <w:rFonts w:ascii="Times New Roman" w:hAnsi="Times New Roman"/>
                <w:b/>
                <w:sz w:val="20"/>
              </w:rPr>
              <w:t>0.735</w:t>
            </w:r>
          </w:p>
        </w:tc>
        <w:tc>
          <w:tcPr>
            <w:tcW w:type="dxa" w:w="960"/>
          </w:tcPr>
          <w:p>
            <w:r>
              <w:rPr>
                <w:rFonts w:ascii="Times New Roman" w:hAnsi="Times New Roman"/>
                <w:b/>
                <w:sz w:val="20"/>
              </w:rPr>
              <w:t>0.502</w:t>
            </w:r>
          </w:p>
        </w:tc>
        <w:tc>
          <w:tcPr>
            <w:tcW w:type="dxa" w:w="960"/>
          </w:tcPr>
          <w:p>
            <w:r>
              <w:rPr>
                <w:rFonts w:ascii="Times New Roman" w:hAnsi="Times New Roman"/>
                <w:b/>
                <w:sz w:val="20"/>
              </w:rPr>
              <w:t>0.609</w:t>
            </w:r>
          </w:p>
        </w:tc>
        <w:tc>
          <w:tcPr>
            <w:tcW w:type="dxa" w:w="960"/>
          </w:tcPr>
          <w:p>
            <w:r>
              <w:rPr>
                <w:rFonts w:ascii="Times New Roman" w:hAnsi="Times New Roman"/>
                <w:b/>
                <w:sz w:val="20"/>
              </w:rPr>
              <w:t>Low (≤20%)</w:t>
            </w:r>
          </w:p>
        </w:tc>
      </w:tr>
      <w:tr>
        <w:tc>
          <w:tcPr>
            <w:tcW w:type="dxa" w:w="960"/>
          </w:tcPr>
          <w:p>
            <w:r>
              <w:rPr>
                <w:rFonts w:ascii="Times New Roman" w:hAnsi="Times New Roman"/>
                <w:b/>
                <w:sz w:val="20"/>
              </w:rPr>
              <w:t>MariCute-V3</w:t>
            </w:r>
          </w:p>
        </w:tc>
        <w:tc>
          <w:tcPr>
            <w:tcW w:type="dxa" w:w="960"/>
          </w:tcPr>
          <w:p>
            <w:r>
              <w:rPr>
                <w:rFonts w:ascii="Times New Roman" w:hAnsi="Times New Roman"/>
                <w:b/>
                <w:sz w:val="20"/>
              </w:rPr>
              <w:t>SMD → SeaShip</w:t>
            </w:r>
          </w:p>
        </w:tc>
        <w:tc>
          <w:tcPr>
            <w:tcW w:type="dxa" w:w="960"/>
          </w:tcPr>
          <w:p>
            <w:r>
              <w:rPr>
                <w:rFonts w:ascii="Times New Roman" w:hAnsi="Times New Roman"/>
                <w:b/>
                <w:sz w:val="20"/>
              </w:rPr>
              <w:t>0.667</w:t>
            </w:r>
          </w:p>
        </w:tc>
        <w:tc>
          <w:tcPr>
            <w:tcW w:type="dxa" w:w="960"/>
          </w:tcPr>
          <w:p>
            <w:r>
              <w:rPr>
                <w:rFonts w:ascii="Times New Roman" w:hAnsi="Times New Roman"/>
                <w:b/>
                <w:sz w:val="20"/>
              </w:rPr>
              <w:t>0.470</w:t>
            </w:r>
          </w:p>
        </w:tc>
        <w:tc>
          <w:tcPr>
            <w:tcW w:type="dxa" w:w="960"/>
          </w:tcPr>
          <w:p>
            <w:r>
              <w:rPr>
                <w:rFonts w:ascii="Times New Roman" w:hAnsi="Times New Roman"/>
                <w:b/>
                <w:sz w:val="20"/>
              </w:rPr>
              <w:t>0.493</w:t>
            </w:r>
          </w:p>
        </w:tc>
        <w:tc>
          <w:tcPr>
            <w:tcW w:type="dxa" w:w="960"/>
          </w:tcPr>
          <w:p>
            <w:r>
              <w:rPr>
                <w:rFonts w:ascii="Times New Roman" w:hAnsi="Times New Roman"/>
                <w:b/>
                <w:sz w:val="20"/>
              </w:rPr>
              <w:t>Low (≤20%)</w:t>
            </w:r>
          </w:p>
        </w:tc>
      </w:tr>
    </w:tbl>
    <w:p>
      <w:pPr>
        <w:spacing w:after="120"/>
      </w:pPr>
    </w:p>
    <w:p>
      <w:r>
        <w:rPr>
          <w:rFonts w:ascii="Times New Roman" w:hAnsi="Times New Roman"/>
          <w:sz w:val="22"/>
        </w:rPr>
        <w:t>MariCute-V3 achieved an average cross-domain mAP@0.5 of 0.551, compared with 0.295 for YOLOv8 and 0.260 for RCNN X101 — representing improvements of 87% and 112% respectively. Notably, YOLOv8 exhibited a 68% mAP degradation when transferred from SeaShip to SMD, a level of domain sensitivity that would be operationally unacceptable in a system required to perform across diverse maritime environments. MariCute-V3's bounded ≤20% degradation reflects the effective role of the federated multi-domain training strategy and the class consolidation approach applied in MFLD construction.</w:t>
      </w:r>
    </w:p>
    <w:tbl>
      <w:tblPr>
        <w:tblStyle w:val="TableGrid"/>
        <w:tblW w:type="auto" w:w="0"/>
        <w:tblLook w:firstColumn="1" w:firstRow="1" w:lastColumn="0" w:lastRow="0" w:noHBand="0" w:noVBand="1" w:val="04A0"/>
      </w:tblPr>
      <w:tblGrid>
        <w:gridCol w:w="5760"/>
      </w:tblGrid>
      <w:tr>
        <w:tc>
          <w:tcPr>
            <w:tcW w:type="dxa" w:w="5760"/>
            <w:shd w:val="clear" w:color="auto" w:fill="EBEBEB"/>
          </w:tcPr>
          <w:p>
            <w:pPr>
              <w:jc w:val="center"/>
            </w:pPr>
            <w:r>
              <w:rPr>
                <w:b/>
                <w:color w:val="505050"/>
                <w:sz w:val="20"/>
              </w:rPr>
              <w:t>[ FIGURE 4.7 — Adapted from Thesis ]</w:t>
            </w:r>
          </w:p>
          <w:p>
            <w:pPr>
              <w:jc w:val="center"/>
            </w:pPr>
            <w:r>
              <w:rPr>
                <w:i/>
                <w:color w:val="6E6E6E"/>
                <w:sz w:val="18"/>
              </w:rPr>
              <w:t>Bar chart or radar plot comparing MariCute-V3, YOLOv8, and RCNN X101 FPN across precision, recall, and mAP in both cross-domain directions. Adapt from Thesis Figures 5.22 and 5.27.</w:t>
            </w:r>
          </w:p>
        </w:tc>
      </w:tr>
    </w:tbl>
    <w:p>
      <w:pPr>
        <w:spacing w:before="60" w:after="240"/>
        <w:jc w:val="center"/>
      </w:pPr>
      <w:r>
        <w:rPr>
          <w:rFonts w:ascii="Times New Roman" w:hAnsi="Times New Roman"/>
          <w:i/>
          <w:sz w:val="20"/>
        </w:rPr>
        <w:t>Figure 4.7. Cross-domain performance comparison of maritime object detectors: MariCute-V3 demonstrates substantially lower degradation across domain shifts relative to YOLOv8 and RCNN X101 FPN.</w:t>
      </w:r>
    </w:p>
    <w:p>
      <w:pPr>
        <w:pStyle w:val="Heading2"/>
      </w:pPr>
      <w:r>
        <w:t>LiDAR-Based Obstacle Segmentation with KD-Accelerated Euclidean Clustering</w:t>
      </w:r>
    </w:p>
    <w:p>
      <w:pPr>
        <w:pStyle w:val="Heading3"/>
      </w:pPr>
      <w:r>
        <w:t>Point Cloud Processing Pipeline</w:t>
      </w:r>
    </w:p>
    <w:p>
      <w:r>
        <w:rPr>
          <w:rFonts w:ascii="Times New Roman" w:hAnsi="Times New Roman"/>
          <w:sz w:val="22"/>
        </w:rPr>
        <w:t>The LiDAR-based obstacle segmentation pipeline transforms raw Velodyne point clouds into 3D bounding boxes suitable for transmission to the MOOS-IvP controller. The pipeline proceeds through four sequential stages: voxel downsampling, ground-plane removal, KD-Tree accelerated Euclidean clustering, and bounding box generation.</w:t>
      </w:r>
    </w:p>
    <w:p>
      <w:r>
        <w:rPr>
          <w:rFonts w:ascii="Times New Roman" w:hAnsi="Times New Roman"/>
          <w:b/>
          <w:sz w:val="22"/>
        </w:rPr>
        <w:t>Voxel downsampling</w:t>
      </w:r>
      <w:r>
        <w:rPr>
          <w:rFonts w:ascii="Times New Roman" w:hAnsi="Times New Roman"/>
          <w:sz w:val="22"/>
        </w:rPr>
        <w:t xml:space="preserve"> reduces the point cloud density to a uniform spatial resolution by replacing all points within each voxel cell with a single centroid point. This step is critical for managing computational load on the Jetson platform whilst preserving the geometric features necessary for accurate clustering. A leaf (voxel) size of 0.1 m was found to offer the optimal balance between resolution retention and processing speed reduction for the obstacle scales encountered in maritime navigation.</w:t>
      </w:r>
    </w:p>
    <w:p>
      <w:r>
        <w:rPr>
          <w:rFonts w:ascii="Times New Roman" w:hAnsi="Times New Roman"/>
          <w:b/>
          <w:sz w:val="22"/>
        </w:rPr>
        <w:t>Ground-plane removal</w:t>
      </w:r>
      <w:r>
        <w:rPr>
          <w:rFonts w:ascii="Times New Roman" w:hAnsi="Times New Roman"/>
          <w:sz w:val="22"/>
        </w:rPr>
        <w:t xml:space="preserve"> eliminates returns from the water surface and vessel deck, which — if retained — would generate false obstacle clusters at the water level. Height thresholds of 0.5 m (minimum clip height) and 1.3 m (maximum clip height) were established through iterative field calibration to capture obstacles in the relevant height band whilst rejecting surface returns.</w:t>
      </w:r>
    </w:p>
    <w:p>
      <w:r>
        <w:rPr>
          <w:rFonts w:ascii="Times New Roman" w:hAnsi="Times New Roman"/>
          <w:b/>
          <w:sz w:val="22"/>
        </w:rPr>
        <w:t>KD-Tree accelerated Euclidean clustering</w:t>
      </w:r>
      <w:r>
        <w:rPr>
          <w:rFonts w:ascii="Times New Roman" w:hAnsi="Times New Roman"/>
          <w:sz w:val="22"/>
        </w:rPr>
        <w:t xml:space="preserve"> groups the remaining points into spatially coherent obstacle candidates. The KD-Tree data structure reduces the nearest-neighbour search operations required at each clustering step from $\mathcal{O}(N)$ to $\mathcal{O}(\log N)$, yielding a substantial reduction in per-frame processing latency. Cluster validity is gated by minimum and maximum point count thresholds (20 and 100,000 points respectively), preventing both the detection of isolated noise returns as obstacles and the merging of multiple proximate objects into a single erroneous cluster.</w:t>
      </w:r>
    </w:p>
    <w:p>
      <w:r>
        <w:rPr>
          <w:rFonts w:ascii="Times New Roman" w:hAnsi="Times New Roman"/>
          <w:b/>
          <w:sz w:val="22"/>
        </w:rPr>
        <w:t>Bounding box generation</w:t>
      </w:r>
      <w:r>
        <w:rPr>
          <w:rFonts w:ascii="Times New Roman" w:hAnsi="Times New Roman"/>
          <w:sz w:val="22"/>
        </w:rPr>
        <w:t xml:space="preserve"> fits a 3D rectangular prism to each validated cluster, parameterised as $(x, y, z, l, w, h)$, where the positional triplet identifies the bounding box centroid and the dimensional triplet specifies its extent along the corresponding axes. These bounding box parameters, combined with range estimates from the cluster centroid, constitute the LiDAR component of the ESA message transmitted via VIP.</w:t>
      </w:r>
    </w:p>
    <w:tbl>
      <w:tblPr>
        <w:tblStyle w:val="TableGrid"/>
        <w:tblW w:type="auto" w:w="0"/>
        <w:tblLook w:firstColumn="1" w:firstRow="1" w:lastColumn="0" w:lastRow="0" w:noHBand="0" w:noVBand="1" w:val="04A0"/>
      </w:tblPr>
      <w:tblGrid>
        <w:gridCol w:w="5760"/>
      </w:tblGrid>
      <w:tr>
        <w:tc>
          <w:tcPr>
            <w:tcW w:type="dxa" w:w="5760"/>
            <w:shd w:val="clear" w:color="auto" w:fill="EBEBEB"/>
          </w:tcPr>
          <w:p>
            <w:pPr>
              <w:jc w:val="center"/>
            </w:pPr>
            <w:r>
              <w:rPr>
                <w:b/>
                <w:color w:val="505050"/>
                <w:sz w:val="20"/>
              </w:rPr>
              <w:t>[ FIGURE 4.8 — Adapted from Thesis ]</w:t>
            </w:r>
          </w:p>
          <w:p>
            <w:pPr>
              <w:jc w:val="center"/>
            </w:pPr>
            <w:r>
              <w:rPr>
                <w:i/>
                <w:color w:val="6E6E6E"/>
                <w:sz w:val="18"/>
              </w:rPr>
              <w:t>A four-panel figure showing: (a) raw point cloud, (b) downsampled and ground-removed cloud, (c) clustered output with colour-coded segments, (d) final bounding boxes overlaid on camera view. Adapt from Thesis Figures 4.6 and 5.28.</w:t>
            </w:r>
          </w:p>
        </w:tc>
      </w:tr>
    </w:tbl>
    <w:p>
      <w:pPr>
        <w:spacing w:before="60" w:after="240"/>
        <w:jc w:val="center"/>
      </w:pPr>
      <w:r>
        <w:rPr>
          <w:rFonts w:ascii="Times New Roman" w:hAnsi="Times New Roman"/>
          <w:i/>
          <w:sz w:val="20"/>
        </w:rPr>
        <w:t>Figure 4.8. LiDAR obstacle detection pipeline stages: (a) raw point cloud; (b) after voxel downsampling and ground removal; (c) KD-accelerated Euclidean clustering; (d) final 3D bounding boxes.</w:t>
      </w:r>
    </w:p>
    <w:p>
      <w:pPr>
        <w:pStyle w:val="Heading3"/>
      </w:pPr>
      <w:r>
        <w:t>Parameter Optimisation for Maritime Environments</w:t>
      </w:r>
    </w:p>
    <w:p>
      <w:r>
        <w:rPr>
          <w:rFonts w:ascii="Times New Roman" w:hAnsi="Times New Roman"/>
          <w:sz w:val="22"/>
        </w:rPr>
        <w:t>A critical aspect of the proposed pipeline is its deviation from the default Euclidean clustering parameters typically used in terrestrial autonomous driving applications. Maritime obstacle geometries differ substantially from road obstacles: vessels, buoys, and pontoons appear at lower heights relative to the sensor, occupy larger lateral extents, and may be partially reflected in the water surface — creating mirrored point cloud artefacts that inflate cluster sizes if height thresholds are set without domain-specific consideration.</w:t>
      </w:r>
    </w:p>
    <w:p>
      <w:r>
        <w:rPr>
          <w:rFonts w:ascii="Times New Roman" w:hAnsi="Times New Roman"/>
          <w:sz w:val="22"/>
        </w:rPr>
        <w:t>Table 4.6 summarises the parameter tuning outcomes. The optimised configuration reduced detection omission rates from 0.80 (SeaShip-SMD baseline) to 0.50 (MFLD-SMD), and processing latency from approximately 180 ms/frame to 42 ms/frame — a 77% reduction attributable primarily to KD-Tree acceleration and voxel downsampling operating in concert.</w:t>
      </w:r>
    </w:p>
    <w:p>
      <w:pPr>
        <w:spacing w:before="240" w:after="60"/>
      </w:pPr>
    </w:p>
    <w:tbl>
      <w:tblPr>
        <w:tblStyle w:val="TableGrid"/>
        <w:tblW w:type="auto" w:w="0"/>
        <w:tblLook w:firstColumn="1" w:firstRow="1" w:lastColumn="0" w:lastRow="0" w:noHBand="0" w:noVBand="1" w:val="04A0"/>
      </w:tblPr>
      <w:tblGrid>
        <w:gridCol w:w="1440"/>
        <w:gridCol w:w="1440"/>
        <w:gridCol w:w="1440"/>
        <w:gridCol w:w="1440"/>
      </w:tblGrid>
      <w:tr>
        <w:tc>
          <w:tcPr>
            <w:tcW w:type="dxa" w:w="1440"/>
            <w:shd w:val="clear" w:color="auto" w:fill="CCCCCC"/>
          </w:tcPr>
          <w:p>
            <w:r>
              <w:rPr>
                <w:rFonts w:ascii="Times New Roman" w:hAnsi="Times New Roman"/>
                <w:b/>
                <w:sz w:val="20"/>
              </w:rPr>
              <w:t>Parameter</w:t>
            </w:r>
          </w:p>
        </w:tc>
        <w:tc>
          <w:tcPr>
            <w:tcW w:type="dxa" w:w="1440"/>
            <w:shd w:val="clear" w:color="auto" w:fill="CCCCCC"/>
          </w:tcPr>
          <w:p>
            <w:r>
              <w:rPr>
                <w:rFonts w:ascii="Times New Roman" w:hAnsi="Times New Roman"/>
                <w:b/>
                <w:sz w:val="20"/>
              </w:rPr>
              <w:t>Tuned Value</w:t>
            </w:r>
          </w:p>
        </w:tc>
        <w:tc>
          <w:tcPr>
            <w:tcW w:type="dxa" w:w="1440"/>
            <w:shd w:val="clear" w:color="auto" w:fill="CCCCCC"/>
          </w:tcPr>
          <w:p>
            <w:r>
              <w:rPr>
                <w:rFonts w:ascii="Times New Roman" w:hAnsi="Times New Roman"/>
                <w:b/>
                <w:sz w:val="20"/>
              </w:rPr>
              <w:t>Explored Range</w:t>
            </w:r>
          </w:p>
        </w:tc>
        <w:tc>
          <w:tcPr>
            <w:tcW w:type="dxa" w:w="1440"/>
            <w:shd w:val="clear" w:color="auto" w:fill="CCCCCC"/>
          </w:tcPr>
          <w:p>
            <w:r>
              <w:rPr>
                <w:rFonts w:ascii="Times New Roman" w:hAnsi="Times New Roman"/>
                <w:b/>
                <w:sz w:val="20"/>
              </w:rPr>
              <w:t>Increment</w:t>
            </w:r>
          </w:p>
        </w:tc>
      </w:tr>
      <w:tr>
        <w:tc>
          <w:tcPr>
            <w:tcW w:type="dxa" w:w="1440"/>
          </w:tcPr>
          <w:p>
            <w:r>
              <w:rPr>
                <w:rFonts w:ascii="Times New Roman" w:hAnsi="Times New Roman"/>
                <w:sz w:val="20"/>
              </w:rPr>
              <w:t>Voxel leaf size (m)</w:t>
            </w:r>
          </w:p>
        </w:tc>
        <w:tc>
          <w:tcPr>
            <w:tcW w:type="dxa" w:w="1440"/>
          </w:tcPr>
          <w:p>
            <w:r>
              <w:rPr>
                <w:rFonts w:ascii="Times New Roman" w:hAnsi="Times New Roman"/>
                <w:sz w:val="20"/>
              </w:rPr>
              <w:t>0.1</w:t>
            </w:r>
          </w:p>
        </w:tc>
        <w:tc>
          <w:tcPr>
            <w:tcW w:type="dxa" w:w="1440"/>
          </w:tcPr>
          <w:p>
            <w:r>
              <w:rPr>
                <w:rFonts w:ascii="Times New Roman" w:hAnsi="Times New Roman"/>
                <w:sz w:val="20"/>
              </w:rPr>
              <w:t>0.1–0.5</w:t>
            </w:r>
          </w:p>
        </w:tc>
        <w:tc>
          <w:tcPr>
            <w:tcW w:type="dxa" w:w="1440"/>
          </w:tcPr>
          <w:p>
            <w:r>
              <w:rPr>
                <w:rFonts w:ascii="Times New Roman" w:hAnsi="Times New Roman"/>
                <w:sz w:val="20"/>
              </w:rPr>
              <w:t>0.1</w:t>
            </w:r>
          </w:p>
        </w:tc>
      </w:tr>
      <w:tr>
        <w:tc>
          <w:tcPr>
            <w:tcW w:type="dxa" w:w="1440"/>
          </w:tcPr>
          <w:p>
            <w:r>
              <w:rPr>
                <w:rFonts w:ascii="Times New Roman" w:hAnsi="Times New Roman"/>
                <w:sz w:val="20"/>
              </w:rPr>
              <w:t>Cluster size minimum (pts)</w:t>
            </w:r>
          </w:p>
        </w:tc>
        <w:tc>
          <w:tcPr>
            <w:tcW w:type="dxa" w:w="1440"/>
          </w:tcPr>
          <w:p>
            <w:r>
              <w:rPr>
                <w:rFonts w:ascii="Times New Roman" w:hAnsi="Times New Roman"/>
                <w:sz w:val="20"/>
              </w:rPr>
              <w:t>20</w:t>
            </w:r>
          </w:p>
        </w:tc>
        <w:tc>
          <w:tcPr>
            <w:tcW w:type="dxa" w:w="1440"/>
          </w:tcPr>
          <w:p>
            <w:r>
              <w:rPr>
                <w:rFonts w:ascii="Times New Roman" w:hAnsi="Times New Roman"/>
                <w:sz w:val="20"/>
              </w:rPr>
              <w:t>10–50</w:t>
            </w:r>
          </w:p>
        </w:tc>
        <w:tc>
          <w:tcPr>
            <w:tcW w:type="dxa" w:w="1440"/>
          </w:tcPr>
          <w:p>
            <w:r>
              <w:rPr>
                <w:rFonts w:ascii="Times New Roman" w:hAnsi="Times New Roman"/>
                <w:sz w:val="20"/>
              </w:rPr>
              <w:t>10</w:t>
            </w:r>
          </w:p>
        </w:tc>
      </w:tr>
      <w:tr>
        <w:tc>
          <w:tcPr>
            <w:tcW w:type="dxa" w:w="1440"/>
          </w:tcPr>
          <w:p>
            <w:r>
              <w:rPr>
                <w:rFonts w:ascii="Times New Roman" w:hAnsi="Times New Roman"/>
                <w:sz w:val="20"/>
              </w:rPr>
              <w:t>Cluster size maximum (pts)</w:t>
            </w:r>
          </w:p>
        </w:tc>
        <w:tc>
          <w:tcPr>
            <w:tcW w:type="dxa" w:w="1440"/>
          </w:tcPr>
          <w:p>
            <w:r>
              <w:rPr>
                <w:rFonts w:ascii="Times New Roman" w:hAnsi="Times New Roman"/>
                <w:sz w:val="20"/>
              </w:rPr>
              <w:t>100,000</w:t>
            </w:r>
          </w:p>
        </w:tc>
        <w:tc>
          <w:tcPr>
            <w:tcW w:type="dxa" w:w="1440"/>
          </w:tcPr>
          <w:p>
            <w:r>
              <w:rPr>
                <w:rFonts w:ascii="Times New Roman" w:hAnsi="Times New Roman"/>
                <w:sz w:val="20"/>
              </w:rPr>
              <w:t>100,000–150,000</w:t>
            </w:r>
          </w:p>
        </w:tc>
        <w:tc>
          <w:tcPr>
            <w:tcW w:type="dxa" w:w="1440"/>
          </w:tcPr>
          <w:p>
            <w:r>
              <w:rPr>
                <w:rFonts w:ascii="Times New Roman" w:hAnsi="Times New Roman"/>
                <w:sz w:val="20"/>
              </w:rPr>
              <w:t>1,000</w:t>
            </w:r>
          </w:p>
        </w:tc>
      </w:tr>
      <w:tr>
        <w:tc>
          <w:tcPr>
            <w:tcW w:type="dxa" w:w="1440"/>
          </w:tcPr>
          <w:p>
            <w:r>
              <w:rPr>
                <w:rFonts w:ascii="Times New Roman" w:hAnsi="Times New Roman"/>
                <w:sz w:val="20"/>
              </w:rPr>
              <w:t>Clip minimum height (m)</w:t>
            </w:r>
          </w:p>
        </w:tc>
        <w:tc>
          <w:tcPr>
            <w:tcW w:type="dxa" w:w="1440"/>
          </w:tcPr>
          <w:p>
            <w:r>
              <w:rPr>
                <w:rFonts w:ascii="Times New Roman" w:hAnsi="Times New Roman"/>
                <w:sz w:val="20"/>
              </w:rPr>
              <w:t>0.5</w:t>
            </w:r>
          </w:p>
        </w:tc>
        <w:tc>
          <w:tcPr>
            <w:tcW w:type="dxa" w:w="1440"/>
          </w:tcPr>
          <w:p>
            <w:r>
              <w:rPr>
                <w:rFonts w:ascii="Times New Roman" w:hAnsi="Times New Roman"/>
                <w:sz w:val="20"/>
              </w:rPr>
              <w:t>1.0–1.5</w:t>
            </w:r>
          </w:p>
        </w:tc>
        <w:tc>
          <w:tcPr>
            <w:tcW w:type="dxa" w:w="1440"/>
          </w:tcPr>
          <w:p>
            <w:r>
              <w:rPr>
                <w:rFonts w:ascii="Times New Roman" w:hAnsi="Times New Roman"/>
                <w:sz w:val="20"/>
              </w:rPr>
              <w:t>0.1</w:t>
            </w:r>
          </w:p>
        </w:tc>
      </w:tr>
      <w:tr>
        <w:tc>
          <w:tcPr>
            <w:tcW w:type="dxa" w:w="1440"/>
          </w:tcPr>
          <w:p>
            <w:r>
              <w:rPr>
                <w:rFonts w:ascii="Times New Roman" w:hAnsi="Times New Roman"/>
                <w:sz w:val="20"/>
              </w:rPr>
              <w:t>Clip maximum height (m)</w:t>
            </w:r>
          </w:p>
        </w:tc>
        <w:tc>
          <w:tcPr>
            <w:tcW w:type="dxa" w:w="1440"/>
          </w:tcPr>
          <w:p>
            <w:r>
              <w:rPr>
                <w:rFonts w:ascii="Times New Roman" w:hAnsi="Times New Roman"/>
                <w:sz w:val="20"/>
              </w:rPr>
              <w:t>1.3</w:t>
            </w:r>
          </w:p>
        </w:tc>
        <w:tc>
          <w:tcPr>
            <w:tcW w:type="dxa" w:w="1440"/>
          </w:tcPr>
          <w:p>
            <w:r>
              <w:rPr>
                <w:rFonts w:ascii="Times New Roman" w:hAnsi="Times New Roman"/>
                <w:sz w:val="20"/>
              </w:rPr>
              <w:t>1.0–1.5</w:t>
            </w:r>
          </w:p>
        </w:tc>
        <w:tc>
          <w:tcPr>
            <w:tcW w:type="dxa" w:w="1440"/>
          </w:tcPr>
          <w:p>
            <w:r>
              <w:rPr>
                <w:rFonts w:ascii="Times New Roman" w:hAnsi="Times New Roman"/>
                <w:sz w:val="20"/>
              </w:rPr>
              <w:t>0.1</w:t>
            </w:r>
          </w:p>
        </w:tc>
      </w:tr>
    </w:tbl>
    <w:p>
      <w:pPr>
        <w:spacing w:after="120"/>
      </w:pPr>
    </w:p>
    <w:p>
      <w:pPr>
        <w:pStyle w:val="Heading3"/>
      </w:pPr>
      <w:r>
        <w:t>Distance Estimation Accuracy</w:t>
      </w:r>
    </w:p>
    <w:p>
      <w:r>
        <w:rPr>
          <w:rFonts w:ascii="Times New Roman" w:hAnsi="Times New Roman"/>
          <w:sz w:val="22"/>
        </w:rPr>
        <w:t>To quantify the accuracy of the LiDAR ranging module under realistic conditions, controlled distance measurements were conducted with targets at known ground-truth positions. The averaged centroid of each validated cluster was used to compute the estimated range. Relative errors in distance estimation ranged from 1.05% to 8.89% across tested distances, with a mean error of 5.72% (Alhattab et al., 2023). Table 4.7 presents the absolute distance measurement error statistics stratified by range band.</w:t>
      </w:r>
    </w:p>
    <w:p>
      <w:pPr>
        <w:spacing w:before="240" w:after="60"/>
      </w:pPr>
    </w:p>
    <w:tbl>
      <w:tblPr>
        <w:tblStyle w:val="TableGrid"/>
        <w:tblW w:type="auto" w:w="0"/>
        <w:tblLook w:firstColumn="1" w:firstRow="1" w:lastColumn="0" w:lastRow="0" w:noHBand="0" w:noVBand="1" w:val="04A0"/>
      </w:tblPr>
      <w:tblGrid>
        <w:gridCol w:w="1440"/>
        <w:gridCol w:w="1440"/>
        <w:gridCol w:w="1440"/>
        <w:gridCol w:w="1440"/>
      </w:tblGrid>
      <w:tr>
        <w:tc>
          <w:tcPr>
            <w:tcW w:type="dxa" w:w="1440"/>
            <w:shd w:val="clear" w:color="auto" w:fill="CCCCCC"/>
          </w:tcPr>
          <w:p>
            <w:r>
              <w:rPr>
                <w:rFonts w:ascii="Times New Roman" w:hAnsi="Times New Roman"/>
                <w:b/>
                <w:sz w:val="20"/>
              </w:rPr>
              <w:t>Distance Range</w:t>
            </w:r>
          </w:p>
        </w:tc>
        <w:tc>
          <w:tcPr>
            <w:tcW w:type="dxa" w:w="1440"/>
            <w:shd w:val="clear" w:color="auto" w:fill="CCCCCC"/>
          </w:tcPr>
          <w:p>
            <w:r>
              <w:rPr>
                <w:rFonts w:ascii="Times New Roman" w:hAnsi="Times New Roman"/>
                <w:b/>
                <w:sz w:val="20"/>
              </w:rPr>
              <w:t>Mean Error (cm)</w:t>
            </w:r>
          </w:p>
        </w:tc>
        <w:tc>
          <w:tcPr>
            <w:tcW w:type="dxa" w:w="1440"/>
            <w:shd w:val="clear" w:color="auto" w:fill="CCCCCC"/>
          </w:tcPr>
          <w:p>
            <w:r>
              <w:rPr>
                <w:rFonts w:ascii="Times New Roman" w:hAnsi="Times New Roman"/>
                <w:b/>
                <w:sz w:val="20"/>
              </w:rPr>
              <w:t>Std. Deviation (cm)</w:t>
            </w:r>
          </w:p>
        </w:tc>
        <w:tc>
          <w:tcPr>
            <w:tcW w:type="dxa" w:w="1440"/>
            <w:shd w:val="clear" w:color="auto" w:fill="CCCCCC"/>
          </w:tcPr>
          <w:p>
            <w:r>
              <w:rPr>
                <w:rFonts w:ascii="Times New Roman" w:hAnsi="Times New Roman"/>
                <w:b/>
                <w:sz w:val="20"/>
              </w:rPr>
              <w:t>Max Error (cm)</w:t>
            </w:r>
          </w:p>
        </w:tc>
      </w:tr>
      <w:tr>
        <w:tc>
          <w:tcPr>
            <w:tcW w:type="dxa" w:w="1440"/>
          </w:tcPr>
          <w:p>
            <w:r>
              <w:rPr>
                <w:rFonts w:ascii="Times New Roman" w:hAnsi="Times New Roman"/>
                <w:sz w:val="20"/>
              </w:rPr>
              <w:t>1–5 m</w:t>
            </w:r>
          </w:p>
        </w:tc>
        <w:tc>
          <w:tcPr>
            <w:tcW w:type="dxa" w:w="1440"/>
          </w:tcPr>
          <w:p>
            <w:r>
              <w:rPr>
                <w:rFonts w:ascii="Times New Roman" w:hAnsi="Times New Roman"/>
                <w:sz w:val="20"/>
              </w:rPr>
              <w:t>1.2</w:t>
            </w:r>
          </w:p>
        </w:tc>
        <w:tc>
          <w:tcPr>
            <w:tcW w:type="dxa" w:w="1440"/>
          </w:tcPr>
          <w:p>
            <w:r>
              <w:rPr>
                <w:rFonts w:ascii="Times New Roman" w:hAnsi="Times New Roman"/>
                <w:sz w:val="20"/>
              </w:rPr>
              <w:t>0.8</w:t>
            </w:r>
          </w:p>
        </w:tc>
        <w:tc>
          <w:tcPr>
            <w:tcW w:type="dxa" w:w="1440"/>
          </w:tcPr>
          <w:p>
            <w:r>
              <w:rPr>
                <w:rFonts w:ascii="Times New Roman" w:hAnsi="Times New Roman"/>
                <w:sz w:val="20"/>
              </w:rPr>
              <w:t>3.5</w:t>
            </w:r>
          </w:p>
        </w:tc>
      </w:tr>
      <w:tr>
        <w:tc>
          <w:tcPr>
            <w:tcW w:type="dxa" w:w="1440"/>
          </w:tcPr>
          <w:p>
            <w:r>
              <w:rPr>
                <w:rFonts w:ascii="Times New Roman" w:hAnsi="Times New Roman"/>
                <w:sz w:val="20"/>
              </w:rPr>
              <w:t>5–10 m</w:t>
            </w:r>
          </w:p>
        </w:tc>
        <w:tc>
          <w:tcPr>
            <w:tcW w:type="dxa" w:w="1440"/>
          </w:tcPr>
          <w:p>
            <w:r>
              <w:rPr>
                <w:rFonts w:ascii="Times New Roman" w:hAnsi="Times New Roman"/>
                <w:sz w:val="20"/>
              </w:rPr>
              <w:t>2.1</w:t>
            </w:r>
          </w:p>
        </w:tc>
        <w:tc>
          <w:tcPr>
            <w:tcW w:type="dxa" w:w="1440"/>
          </w:tcPr>
          <w:p>
            <w:r>
              <w:rPr>
                <w:rFonts w:ascii="Times New Roman" w:hAnsi="Times New Roman"/>
                <w:sz w:val="20"/>
              </w:rPr>
              <w:t>1.2</w:t>
            </w:r>
          </w:p>
        </w:tc>
        <w:tc>
          <w:tcPr>
            <w:tcW w:type="dxa" w:w="1440"/>
          </w:tcPr>
          <w:p>
            <w:r>
              <w:rPr>
                <w:rFonts w:ascii="Times New Roman" w:hAnsi="Times New Roman"/>
                <w:sz w:val="20"/>
              </w:rPr>
              <w:t>5.2</w:t>
            </w:r>
          </w:p>
        </w:tc>
      </w:tr>
      <w:tr>
        <w:tc>
          <w:tcPr>
            <w:tcW w:type="dxa" w:w="1440"/>
          </w:tcPr>
          <w:p>
            <w:r>
              <w:rPr>
                <w:rFonts w:ascii="Times New Roman" w:hAnsi="Times New Roman"/>
                <w:sz w:val="20"/>
              </w:rPr>
              <w:t>10–15 m</w:t>
            </w:r>
          </w:p>
        </w:tc>
        <w:tc>
          <w:tcPr>
            <w:tcW w:type="dxa" w:w="1440"/>
          </w:tcPr>
          <w:p>
            <w:r>
              <w:rPr>
                <w:rFonts w:ascii="Times New Roman" w:hAnsi="Times New Roman"/>
                <w:sz w:val="20"/>
              </w:rPr>
              <w:t>3.4</w:t>
            </w:r>
          </w:p>
        </w:tc>
        <w:tc>
          <w:tcPr>
            <w:tcW w:type="dxa" w:w="1440"/>
          </w:tcPr>
          <w:p>
            <w:r>
              <w:rPr>
                <w:rFonts w:ascii="Times New Roman" w:hAnsi="Times New Roman"/>
                <w:sz w:val="20"/>
              </w:rPr>
              <w:t>1.8</w:t>
            </w:r>
          </w:p>
        </w:tc>
        <w:tc>
          <w:tcPr>
            <w:tcW w:type="dxa" w:w="1440"/>
          </w:tcPr>
          <w:p>
            <w:r>
              <w:rPr>
                <w:rFonts w:ascii="Times New Roman" w:hAnsi="Times New Roman"/>
                <w:sz w:val="20"/>
              </w:rPr>
              <w:t>7.8</w:t>
            </w:r>
          </w:p>
        </w:tc>
      </w:tr>
      <w:tr>
        <w:tc>
          <w:tcPr>
            <w:tcW w:type="dxa" w:w="1440"/>
          </w:tcPr>
          <w:p>
            <w:r>
              <w:rPr>
                <w:rFonts w:ascii="Times New Roman" w:hAnsi="Times New Roman"/>
                <w:sz w:val="20"/>
              </w:rPr>
              <w:t>15–20 m</w:t>
            </w:r>
          </w:p>
        </w:tc>
        <w:tc>
          <w:tcPr>
            <w:tcW w:type="dxa" w:w="1440"/>
          </w:tcPr>
          <w:p>
            <w:r>
              <w:rPr>
                <w:rFonts w:ascii="Times New Roman" w:hAnsi="Times New Roman"/>
                <w:sz w:val="20"/>
              </w:rPr>
              <w:t>5.7</w:t>
            </w:r>
          </w:p>
        </w:tc>
        <w:tc>
          <w:tcPr>
            <w:tcW w:type="dxa" w:w="1440"/>
          </w:tcPr>
          <w:p>
            <w:r>
              <w:rPr>
                <w:rFonts w:ascii="Times New Roman" w:hAnsi="Times New Roman"/>
                <w:sz w:val="20"/>
              </w:rPr>
              <w:t>2.4</w:t>
            </w:r>
          </w:p>
        </w:tc>
        <w:tc>
          <w:tcPr>
            <w:tcW w:type="dxa" w:w="1440"/>
          </w:tcPr>
          <w:p>
            <w:r>
              <w:rPr>
                <w:rFonts w:ascii="Times New Roman" w:hAnsi="Times New Roman"/>
                <w:sz w:val="20"/>
              </w:rPr>
              <w:t>11.2</w:t>
            </w:r>
          </w:p>
        </w:tc>
      </w:tr>
    </w:tbl>
    <w:p>
      <w:pPr>
        <w:spacing w:after="120"/>
      </w:pPr>
    </w:p>
    <w:p>
      <w:r>
        <w:rPr>
          <w:rFonts w:ascii="Times New Roman" w:hAnsi="Times New Roman"/>
          <w:sz w:val="22"/>
        </w:rPr>
        <w:t>The progressive increase in absolute error with range is consistent with the inherent geometric precision limits of LiDAR point cloud centroid estimation as spatial density diminishes at greater distances. Nevertheless, at the operationally critical range of 5 to 10 m — corresponding to approximately 10 seconds of reaction time at 2 knots — the mean ranging error of 2.1 cm represents a negligible uncertainty for collision avoidance decision-making. These performance characteristics were deemed sufficient for safe operation under the AvoidObstacleV2 MOOS-IvP behaviour configured with a safe-standoff distance equal to three vessel lengths.</w:t>
      </w:r>
    </w:p>
    <w:p>
      <w:pPr>
        <w:pStyle w:val="Heading2"/>
      </w:pPr>
      <w:r>
        <w:t>Decision-Level Sensor Fusion</w:t>
      </w:r>
    </w:p>
    <w:p>
      <w:pPr>
        <w:pStyle w:val="Heading3"/>
      </w:pPr>
      <w:r>
        <w:t>Fusion Strategy</w:t>
      </w:r>
    </w:p>
    <w:p>
      <w:r>
        <w:rPr>
          <w:rFonts w:ascii="Times New Roman" w:hAnsi="Times New Roman"/>
          <w:sz w:val="22"/>
        </w:rPr>
        <w:t>The decision-level fusion strategy adopted in this work integrates the distance estimates from both the LiDAR and stereo camera into a single weighted obstacle report. The fused distance for each detected obstacle is computed as:</w:t>
      </w:r>
    </w:p>
    <w:p>
      <w:pPr>
        <w:spacing w:before="120" w:after="120"/>
        <w:jc w:val="center"/>
      </w:pPr>
      <w:r>
        <w:rPr>
          <w:rFonts w:ascii="Times New Roman" w:hAnsi="Times New Roman"/>
          <w:i/>
          <w:sz w:val="22"/>
        </w:rPr>
        <w:t>D_f = α · D_Velodyne32 + (1 - α) · D_ZED2i</w:t>
      </w:r>
      <w:r>
        <w:t xml:space="preserve">   (4.14)</w:t>
      </w:r>
    </w:p>
    <w:p>
      <w:r>
        <w:rPr>
          <w:rFonts w:ascii="Times New Roman" w:hAnsi="Times New Roman"/>
          <w:sz w:val="22"/>
        </w:rPr>
        <w:t>where $D_f$ is the fused obstacle distance, $D_{\text{Velodyne32}}$ and $D_{\text{ZED2i}}$ are the range estimates from the LiDAR and stereo camera respectively, and $\alpha \in [0, 1]$ is a dynamic weighting factor that reflects the relative reliability of each sensor under current environmental conditions. Under nominal conditions, $\alpha$ is set to 0.7, reflecting LiDAR's superior absolute ranging accuracy; however, this value is automatically adjusted when sensor health monitoring detects degraded LiDAR performance, allowing the system to fall back on the camera as the primary ranging source.</w:t>
      </w:r>
    </w:p>
    <w:p>
      <w:r>
        <w:rPr>
          <w:rFonts w:ascii="Times New Roman" w:hAnsi="Times New Roman"/>
          <w:sz w:val="22"/>
        </w:rPr>
        <w:t>Unlike mid-level fusion strategies — which require tightly aligned feature representations from both sensors and are vulnerable to miscalibration — decision-level fusion treats each sensor as an independent oracle and combines only their final object-level outputs. This modularity is particularly valuable aboard the SURAYA platform, where different deployment configurations may involve different sensor pairings or sensor subset availability.</w:t>
      </w:r>
    </w:p>
    <w:p>
      <w:pPr>
        <w:pStyle w:val="Heading3"/>
      </w:pPr>
      <w:r>
        <w:t>Fusion Performance Results</w:t>
      </w:r>
    </w:p>
    <w:p>
      <w:r>
        <w:rPr>
          <w:rFonts w:ascii="Times New Roman" w:hAnsi="Times New Roman"/>
          <w:sz w:val="22"/>
        </w:rPr>
        <w:t>The fusion system was evaluated in controlled field trials using annotated sequences of 49 known obstacle encounters. Table 4.8 summarises the per-sensor and fused detection metrics.</w:t>
      </w:r>
    </w:p>
    <w:p>
      <w:pPr>
        <w:spacing w:before="240" w:after="60"/>
      </w:pPr>
    </w:p>
    <w:tbl>
      <w:tblPr>
        <w:tblStyle w:val="TableGrid"/>
        <w:tblW w:type="auto" w:w="0"/>
        <w:tblLook w:firstColumn="1" w:firstRow="1" w:lastColumn="0" w:lastRow="0" w:noHBand="0" w:noVBand="1" w:val="04A0"/>
      </w:tblPr>
      <w:tblGrid>
        <w:gridCol w:w="960"/>
        <w:gridCol w:w="960"/>
        <w:gridCol w:w="960"/>
        <w:gridCol w:w="960"/>
        <w:gridCol w:w="960"/>
        <w:gridCol w:w="960"/>
      </w:tblGrid>
      <w:tr>
        <w:tc>
          <w:tcPr>
            <w:tcW w:type="dxa" w:w="960"/>
            <w:shd w:val="clear" w:color="auto" w:fill="CCCCCC"/>
          </w:tcPr>
          <w:p>
            <w:r>
              <w:rPr>
                <w:rFonts w:ascii="Times New Roman" w:hAnsi="Times New Roman"/>
                <w:b/>
                <w:sz w:val="20"/>
              </w:rPr>
              <w:t>Sensor</w:t>
            </w:r>
          </w:p>
        </w:tc>
        <w:tc>
          <w:tcPr>
            <w:tcW w:type="dxa" w:w="960"/>
            <w:shd w:val="clear" w:color="auto" w:fill="CCCCCC"/>
          </w:tcPr>
          <w:p>
            <w:r>
              <w:rPr>
                <w:rFonts w:ascii="Times New Roman" w:hAnsi="Times New Roman"/>
                <w:b/>
                <w:sz w:val="20"/>
              </w:rPr>
              <w:t>TP</w:t>
            </w:r>
          </w:p>
        </w:tc>
        <w:tc>
          <w:tcPr>
            <w:tcW w:type="dxa" w:w="960"/>
            <w:shd w:val="clear" w:color="auto" w:fill="CCCCCC"/>
          </w:tcPr>
          <w:p>
            <w:r>
              <w:rPr>
                <w:rFonts w:ascii="Times New Roman" w:hAnsi="Times New Roman"/>
                <w:b/>
                <w:sz w:val="20"/>
              </w:rPr>
              <w:t>FP</w:t>
            </w:r>
          </w:p>
        </w:tc>
        <w:tc>
          <w:tcPr>
            <w:tcW w:type="dxa" w:w="960"/>
            <w:shd w:val="clear" w:color="auto" w:fill="CCCCCC"/>
          </w:tcPr>
          <w:p>
            <w:r>
              <w:rPr>
                <w:rFonts w:ascii="Times New Roman" w:hAnsi="Times New Roman"/>
                <w:b/>
                <w:sz w:val="20"/>
              </w:rPr>
              <w:t>FN</w:t>
            </w:r>
          </w:p>
        </w:tc>
        <w:tc>
          <w:tcPr>
            <w:tcW w:type="dxa" w:w="960"/>
            <w:shd w:val="clear" w:color="auto" w:fill="CCCCCC"/>
          </w:tcPr>
          <w:p>
            <w:r>
              <w:rPr>
                <w:rFonts w:ascii="Times New Roman" w:hAnsi="Times New Roman"/>
                <w:b/>
                <w:sz w:val="20"/>
              </w:rPr>
              <w:t>Precision</w:t>
            </w:r>
          </w:p>
        </w:tc>
        <w:tc>
          <w:tcPr>
            <w:tcW w:type="dxa" w:w="960"/>
            <w:shd w:val="clear" w:color="auto" w:fill="CCCCCC"/>
          </w:tcPr>
          <w:p>
            <w:r>
              <w:rPr>
                <w:rFonts w:ascii="Times New Roman" w:hAnsi="Times New Roman"/>
                <w:b/>
                <w:sz w:val="20"/>
              </w:rPr>
              <w:t>Recall</w:t>
            </w:r>
          </w:p>
        </w:tc>
      </w:tr>
      <w:tr>
        <w:tc>
          <w:tcPr>
            <w:tcW w:type="dxa" w:w="960"/>
          </w:tcPr>
          <w:p>
            <w:r>
              <w:rPr>
                <w:rFonts w:ascii="Times New Roman" w:hAnsi="Times New Roman"/>
                <w:sz w:val="20"/>
              </w:rPr>
              <w:t>ZED2i</w:t>
            </w:r>
          </w:p>
        </w:tc>
        <w:tc>
          <w:tcPr>
            <w:tcW w:type="dxa" w:w="960"/>
          </w:tcPr>
          <w:p>
            <w:r>
              <w:rPr>
                <w:rFonts w:ascii="Times New Roman" w:hAnsi="Times New Roman"/>
                <w:sz w:val="20"/>
              </w:rPr>
              <w:t>48</w:t>
            </w:r>
          </w:p>
        </w:tc>
        <w:tc>
          <w:tcPr>
            <w:tcW w:type="dxa" w:w="960"/>
          </w:tcPr>
          <w:p>
            <w:r>
              <w:rPr>
                <w:rFonts w:ascii="Times New Roman" w:hAnsi="Times New Roman"/>
                <w:sz w:val="20"/>
              </w:rPr>
              <w:t>1</w:t>
            </w:r>
          </w:p>
        </w:tc>
        <w:tc>
          <w:tcPr>
            <w:tcW w:type="dxa" w:w="960"/>
          </w:tcPr>
          <w:p>
            <w:r>
              <w:rPr>
                <w:rFonts w:ascii="Times New Roman" w:hAnsi="Times New Roman"/>
                <w:sz w:val="20"/>
              </w:rPr>
              <w:t>0</w:t>
            </w:r>
          </w:p>
        </w:tc>
        <w:tc>
          <w:tcPr>
            <w:tcW w:type="dxa" w:w="960"/>
          </w:tcPr>
          <w:p>
            <w:r>
              <w:rPr>
                <w:rFonts w:ascii="Times New Roman" w:hAnsi="Times New Roman"/>
                <w:sz w:val="20"/>
              </w:rPr>
              <w:t>0.98</w:t>
            </w:r>
          </w:p>
        </w:tc>
        <w:tc>
          <w:tcPr>
            <w:tcW w:type="dxa" w:w="960"/>
          </w:tcPr>
          <w:p>
            <w:r>
              <w:rPr>
                <w:rFonts w:ascii="Times New Roman" w:hAnsi="Times New Roman"/>
                <w:sz w:val="20"/>
              </w:rPr>
              <w:t>1.00</w:t>
            </w:r>
          </w:p>
        </w:tc>
      </w:tr>
      <w:tr>
        <w:tc>
          <w:tcPr>
            <w:tcW w:type="dxa" w:w="960"/>
          </w:tcPr>
          <w:p>
            <w:r>
              <w:rPr>
                <w:rFonts w:ascii="Times New Roman" w:hAnsi="Times New Roman"/>
                <w:sz w:val="20"/>
              </w:rPr>
              <w:t>LiDAR</w:t>
            </w:r>
          </w:p>
        </w:tc>
        <w:tc>
          <w:tcPr>
            <w:tcW w:type="dxa" w:w="960"/>
          </w:tcPr>
          <w:p>
            <w:r>
              <w:rPr>
                <w:rFonts w:ascii="Times New Roman" w:hAnsi="Times New Roman"/>
                <w:sz w:val="20"/>
              </w:rPr>
              <w:t>39</w:t>
            </w:r>
          </w:p>
        </w:tc>
        <w:tc>
          <w:tcPr>
            <w:tcW w:type="dxa" w:w="960"/>
          </w:tcPr>
          <w:p>
            <w:r>
              <w:rPr>
                <w:rFonts w:ascii="Times New Roman" w:hAnsi="Times New Roman"/>
                <w:sz w:val="20"/>
              </w:rPr>
              <w:t>0</w:t>
            </w:r>
          </w:p>
        </w:tc>
        <w:tc>
          <w:tcPr>
            <w:tcW w:type="dxa" w:w="960"/>
          </w:tcPr>
          <w:p>
            <w:r>
              <w:rPr>
                <w:rFonts w:ascii="Times New Roman" w:hAnsi="Times New Roman"/>
                <w:sz w:val="20"/>
              </w:rPr>
              <w:t>10</w:t>
            </w:r>
          </w:p>
        </w:tc>
        <w:tc>
          <w:tcPr>
            <w:tcW w:type="dxa" w:w="960"/>
          </w:tcPr>
          <w:p>
            <w:r>
              <w:rPr>
                <w:rFonts w:ascii="Times New Roman" w:hAnsi="Times New Roman"/>
                <w:sz w:val="20"/>
              </w:rPr>
              <w:t>1.00</w:t>
            </w:r>
          </w:p>
        </w:tc>
        <w:tc>
          <w:tcPr>
            <w:tcW w:type="dxa" w:w="960"/>
          </w:tcPr>
          <w:p>
            <w:r>
              <w:rPr>
                <w:rFonts w:ascii="Times New Roman" w:hAnsi="Times New Roman"/>
                <w:sz w:val="20"/>
              </w:rPr>
              <w:t>0.796</w:t>
            </w:r>
          </w:p>
        </w:tc>
      </w:tr>
      <w:tr>
        <w:tc>
          <w:tcPr>
            <w:tcW w:type="dxa" w:w="960"/>
          </w:tcPr>
          <w:p>
            <w:r>
              <w:rPr>
                <w:rFonts w:ascii="Times New Roman" w:hAnsi="Times New Roman"/>
                <w:b/>
                <w:sz w:val="20"/>
              </w:rPr>
              <w:t>Fused</w:t>
            </w:r>
          </w:p>
        </w:tc>
        <w:tc>
          <w:tcPr>
            <w:tcW w:type="dxa" w:w="960"/>
          </w:tcPr>
          <w:p>
            <w:r>
              <w:rPr>
                <w:rFonts w:ascii="Times New Roman" w:hAnsi="Times New Roman"/>
                <w:b/>
                <w:sz w:val="20"/>
              </w:rPr>
              <w:t>49</w:t>
            </w:r>
          </w:p>
        </w:tc>
        <w:tc>
          <w:tcPr>
            <w:tcW w:type="dxa" w:w="960"/>
          </w:tcPr>
          <w:p>
            <w:r>
              <w:rPr>
                <w:rFonts w:ascii="Times New Roman" w:hAnsi="Times New Roman"/>
                <w:b/>
                <w:sz w:val="20"/>
              </w:rPr>
              <w:t>1</w:t>
            </w:r>
          </w:p>
        </w:tc>
        <w:tc>
          <w:tcPr>
            <w:tcW w:type="dxa" w:w="960"/>
          </w:tcPr>
          <w:p>
            <w:r>
              <w:rPr>
                <w:rFonts w:ascii="Times New Roman" w:hAnsi="Times New Roman"/>
                <w:b/>
                <w:sz w:val="20"/>
              </w:rPr>
              <w:t>0</w:t>
            </w:r>
          </w:p>
        </w:tc>
        <w:tc>
          <w:tcPr>
            <w:tcW w:type="dxa" w:w="960"/>
          </w:tcPr>
          <w:p>
            <w:r>
              <w:rPr>
                <w:rFonts w:ascii="Times New Roman" w:hAnsi="Times New Roman"/>
                <w:b/>
                <w:sz w:val="20"/>
              </w:rPr>
              <w:t>0.98</w:t>
            </w:r>
          </w:p>
        </w:tc>
        <w:tc>
          <w:tcPr>
            <w:tcW w:type="dxa" w:w="960"/>
          </w:tcPr>
          <w:p>
            <w:r>
              <w:rPr>
                <w:rFonts w:ascii="Times New Roman" w:hAnsi="Times New Roman"/>
                <w:b/>
                <w:sz w:val="20"/>
              </w:rPr>
              <w:t>1.00</w:t>
            </w:r>
          </w:p>
        </w:tc>
      </w:tr>
    </w:tbl>
    <w:p>
      <w:pPr>
        <w:spacing w:after="120"/>
      </w:pPr>
    </w:p>
    <w:p>
      <w:r>
        <w:rPr>
          <w:rFonts w:ascii="Times New Roman" w:hAnsi="Times New Roman"/>
          <w:sz w:val="22"/>
        </w:rPr>
        <w:t>The camera demonstrated perfect recall (1.00) — detecting all 49 obstacles — with a single misclassification yielding precision of 0.98. The LiDAR achieved perfect precision (1.00) but lower recall (0.796), with 10 missed detections attributable to point cloud sparsity for small or low-profile targets at the margins of the sensor's useful clustering range. These 10 missed LiDAR detections were transmitted to the controller as NaN alerts, ensuring the controller remained aware of the object's last known state. The fused system capitalised on the camera's superior recall, achieving 100% detection rate within the operational zone whilst retaining the LiDAR's ranging precision.</w:t>
      </w:r>
    </w:p>
    <w:p>
      <w:r>
        <w:rPr>
          <w:rFonts w:ascii="Times New Roman" w:hAnsi="Times New Roman"/>
          <w:sz w:val="22"/>
        </w:rPr>
        <w:t>Table 4.9 presents the comparative performance of the individual and fused sensor modalities on key operational metrics.</w:t>
      </w:r>
    </w:p>
    <w:p>
      <w:pPr>
        <w:spacing w:before="240" w:after="60"/>
      </w:pPr>
    </w:p>
    <w:tbl>
      <w:tblPr>
        <w:tblStyle w:val="TableGrid"/>
        <w:tblW w:type="auto" w:w="0"/>
        <w:tblLook w:firstColumn="1" w:firstRow="1" w:lastColumn="0" w:lastRow="0" w:noHBand="0" w:noVBand="1" w:val="04A0"/>
      </w:tblPr>
      <w:tblGrid>
        <w:gridCol w:w="1440"/>
        <w:gridCol w:w="1440"/>
        <w:gridCol w:w="1440"/>
        <w:gridCol w:w="1440"/>
      </w:tblGrid>
      <w:tr>
        <w:tc>
          <w:tcPr>
            <w:tcW w:type="dxa" w:w="1440"/>
            <w:shd w:val="clear" w:color="auto" w:fill="CCCCCC"/>
          </w:tcPr>
          <w:p>
            <w:r>
              <w:rPr>
                <w:rFonts w:ascii="Times New Roman" w:hAnsi="Times New Roman"/>
                <w:b/>
                <w:sz w:val="20"/>
              </w:rPr>
              <w:t>Metric</w:t>
            </w:r>
          </w:p>
        </w:tc>
        <w:tc>
          <w:tcPr>
            <w:tcW w:type="dxa" w:w="1440"/>
            <w:shd w:val="clear" w:color="auto" w:fill="CCCCCC"/>
          </w:tcPr>
          <w:p>
            <w:r>
              <w:rPr>
                <w:rFonts w:ascii="Times New Roman" w:hAnsi="Times New Roman"/>
                <w:b/>
                <w:sz w:val="20"/>
              </w:rPr>
              <w:t>LiDAR</w:t>
            </w:r>
          </w:p>
        </w:tc>
        <w:tc>
          <w:tcPr>
            <w:tcW w:type="dxa" w:w="1440"/>
            <w:shd w:val="clear" w:color="auto" w:fill="CCCCCC"/>
          </w:tcPr>
          <w:p>
            <w:r>
              <w:rPr>
                <w:rFonts w:ascii="Times New Roman" w:hAnsi="Times New Roman"/>
                <w:b/>
                <w:sz w:val="20"/>
              </w:rPr>
              <w:t>ZED2i</w:t>
            </w:r>
          </w:p>
        </w:tc>
        <w:tc>
          <w:tcPr>
            <w:tcW w:type="dxa" w:w="1440"/>
            <w:shd w:val="clear" w:color="auto" w:fill="CCCCCC"/>
          </w:tcPr>
          <w:p>
            <w:r>
              <w:rPr>
                <w:rFonts w:ascii="Times New Roman" w:hAnsi="Times New Roman"/>
                <w:b/>
                <w:sz w:val="20"/>
              </w:rPr>
              <w:t>Fused Output</w:t>
            </w:r>
          </w:p>
        </w:tc>
      </w:tr>
      <w:tr>
        <w:tc>
          <w:tcPr>
            <w:tcW w:type="dxa" w:w="1440"/>
          </w:tcPr>
          <w:p>
            <w:r>
              <w:rPr>
                <w:rFonts w:ascii="Times New Roman" w:hAnsi="Times New Roman"/>
                <w:sz w:val="20"/>
              </w:rPr>
              <w:t>Sampling rate</w:t>
            </w:r>
          </w:p>
        </w:tc>
        <w:tc>
          <w:tcPr>
            <w:tcW w:type="dxa" w:w="1440"/>
          </w:tcPr>
          <w:p>
            <w:r>
              <w:rPr>
                <w:rFonts w:ascii="Times New Roman" w:hAnsi="Times New Roman"/>
                <w:sz w:val="20"/>
              </w:rPr>
              <w:t>20 Hz</w:t>
            </w:r>
          </w:p>
        </w:tc>
        <w:tc>
          <w:tcPr>
            <w:tcW w:type="dxa" w:w="1440"/>
          </w:tcPr>
          <w:p>
            <w:r>
              <w:rPr>
                <w:rFonts w:ascii="Times New Roman" w:hAnsi="Times New Roman"/>
                <w:sz w:val="20"/>
              </w:rPr>
              <w:t>30 FPS</w:t>
            </w:r>
          </w:p>
        </w:tc>
        <w:tc>
          <w:tcPr>
            <w:tcW w:type="dxa" w:w="1440"/>
          </w:tcPr>
          <w:p>
            <w:r>
              <w:rPr>
                <w:rFonts w:ascii="Times New Roman" w:hAnsi="Times New Roman"/>
                <w:sz w:val="20"/>
              </w:rPr>
              <w:t>30 Hz</w:t>
            </w:r>
          </w:p>
        </w:tc>
      </w:tr>
      <w:tr>
        <w:tc>
          <w:tcPr>
            <w:tcW w:type="dxa" w:w="1440"/>
          </w:tcPr>
          <w:p>
            <w:r>
              <w:rPr>
                <w:rFonts w:ascii="Times New Roman" w:hAnsi="Times New Roman"/>
                <w:sz w:val="20"/>
              </w:rPr>
              <w:t>Average latency</w:t>
            </w:r>
          </w:p>
        </w:tc>
        <w:tc>
          <w:tcPr>
            <w:tcW w:type="dxa" w:w="1440"/>
          </w:tcPr>
          <w:p>
            <w:r>
              <w:rPr>
                <w:rFonts w:ascii="Times New Roman" w:hAnsi="Times New Roman"/>
                <w:sz w:val="20"/>
              </w:rPr>
              <w:t>33 ms</w:t>
            </w:r>
          </w:p>
        </w:tc>
        <w:tc>
          <w:tcPr>
            <w:tcW w:type="dxa" w:w="1440"/>
          </w:tcPr>
          <w:p>
            <w:r>
              <w:rPr>
                <w:rFonts w:ascii="Times New Roman" w:hAnsi="Times New Roman"/>
                <w:sz w:val="20"/>
              </w:rPr>
              <w:t>47 ms</w:t>
            </w:r>
          </w:p>
        </w:tc>
        <w:tc>
          <w:tcPr>
            <w:tcW w:type="dxa" w:w="1440"/>
          </w:tcPr>
          <w:p>
            <w:r>
              <w:rPr>
                <w:rFonts w:ascii="Times New Roman" w:hAnsi="Times New Roman"/>
                <w:sz w:val="20"/>
              </w:rPr>
              <w:t>~40 ms</w:t>
            </w:r>
          </w:p>
        </w:tc>
      </w:tr>
      <w:tr>
        <w:tc>
          <w:tcPr>
            <w:tcW w:type="dxa" w:w="1440"/>
          </w:tcPr>
          <w:p>
            <w:r>
              <w:rPr>
                <w:rFonts w:ascii="Times New Roman" w:hAnsi="Times New Roman"/>
                <w:sz w:val="20"/>
              </w:rPr>
              <w:t>Distance accuracy</w:t>
            </w:r>
          </w:p>
        </w:tc>
        <w:tc>
          <w:tcPr>
            <w:tcW w:type="dxa" w:w="1440"/>
          </w:tcPr>
          <w:p>
            <w:r>
              <w:rPr>
                <w:rFonts w:ascii="Times New Roman" w:hAnsi="Times New Roman"/>
                <w:sz w:val="20"/>
              </w:rPr>
              <w:t>3.2% error</w:t>
            </w:r>
          </w:p>
        </w:tc>
        <w:tc>
          <w:tcPr>
            <w:tcW w:type="dxa" w:w="1440"/>
          </w:tcPr>
          <w:p>
            <w:r>
              <w:rPr>
                <w:rFonts w:ascii="Times New Roman" w:hAnsi="Times New Roman"/>
                <w:sz w:val="20"/>
              </w:rPr>
              <w:t>5.8% error</w:t>
            </w:r>
          </w:p>
        </w:tc>
        <w:tc>
          <w:tcPr>
            <w:tcW w:type="dxa" w:w="1440"/>
          </w:tcPr>
          <w:p>
            <w:r>
              <w:rPr>
                <w:rFonts w:ascii="Times New Roman" w:hAnsi="Times New Roman"/>
                <w:b/>
                <w:sz w:val="20"/>
              </w:rPr>
              <w:t>1.5% error</w:t>
            </w:r>
          </w:p>
        </w:tc>
      </w:tr>
      <w:tr>
        <w:tc>
          <w:tcPr>
            <w:tcW w:type="dxa" w:w="1440"/>
          </w:tcPr>
          <w:p>
            <w:r>
              <w:rPr>
                <w:rFonts w:ascii="Times New Roman" w:hAnsi="Times New Roman"/>
                <w:sz w:val="20"/>
              </w:rPr>
              <w:t>Classification accuracy</w:t>
            </w:r>
          </w:p>
        </w:tc>
        <w:tc>
          <w:tcPr>
            <w:tcW w:type="dxa" w:w="1440"/>
          </w:tcPr>
          <w:p>
            <w:r>
              <w:rPr>
                <w:rFonts w:ascii="Times New Roman" w:hAnsi="Times New Roman"/>
                <w:sz w:val="20"/>
              </w:rPr>
              <w:t>N/A</w:t>
            </w:r>
          </w:p>
        </w:tc>
        <w:tc>
          <w:tcPr>
            <w:tcW w:type="dxa" w:w="1440"/>
          </w:tcPr>
          <w:p>
            <w:r>
              <w:rPr>
                <w:rFonts w:ascii="Times New Roman" w:hAnsi="Times New Roman"/>
                <w:sz w:val="20"/>
              </w:rPr>
              <w:t>98.7%</w:t>
            </w:r>
          </w:p>
        </w:tc>
        <w:tc>
          <w:tcPr>
            <w:tcW w:type="dxa" w:w="1440"/>
          </w:tcPr>
          <w:p>
            <w:r>
              <w:rPr>
                <w:rFonts w:ascii="Times New Roman" w:hAnsi="Times New Roman"/>
                <w:sz w:val="20"/>
              </w:rPr>
              <w:t>98.7%</w:t>
            </w:r>
          </w:p>
        </w:tc>
      </w:tr>
      <w:tr>
        <w:tc>
          <w:tcPr>
            <w:tcW w:type="dxa" w:w="1440"/>
          </w:tcPr>
          <w:p>
            <w:r>
              <w:rPr>
                <w:rFonts w:ascii="Times New Roman" w:hAnsi="Times New Roman"/>
                <w:sz w:val="20"/>
              </w:rPr>
              <w:t>Maximum effective range</w:t>
            </w:r>
          </w:p>
        </w:tc>
        <w:tc>
          <w:tcPr>
            <w:tcW w:type="dxa" w:w="1440"/>
          </w:tcPr>
          <w:p>
            <w:r>
              <w:rPr>
                <w:rFonts w:ascii="Times New Roman" w:hAnsi="Times New Roman"/>
                <w:sz w:val="20"/>
              </w:rPr>
              <w:t>50 m</w:t>
            </w:r>
          </w:p>
        </w:tc>
        <w:tc>
          <w:tcPr>
            <w:tcW w:type="dxa" w:w="1440"/>
          </w:tcPr>
          <w:p>
            <w:r>
              <w:rPr>
                <w:rFonts w:ascii="Times New Roman" w:hAnsi="Times New Roman"/>
                <w:sz w:val="20"/>
              </w:rPr>
              <w:t>20 m</w:t>
            </w:r>
          </w:p>
        </w:tc>
        <w:tc>
          <w:tcPr>
            <w:tcW w:type="dxa" w:w="1440"/>
          </w:tcPr>
          <w:p>
            <w:r>
              <w:rPr>
                <w:rFonts w:ascii="Times New Roman" w:hAnsi="Times New Roman"/>
                <w:sz w:val="20"/>
              </w:rPr>
              <w:t>20 m</w:t>
            </w:r>
          </w:p>
        </w:tc>
      </w:tr>
      <w:tr>
        <w:tc>
          <w:tcPr>
            <w:tcW w:type="dxa" w:w="1440"/>
          </w:tcPr>
          <w:p>
            <w:r>
              <w:rPr>
                <w:rFonts w:ascii="Times New Roman" w:hAnsi="Times New Roman"/>
                <w:sz w:val="20"/>
              </w:rPr>
              <w:t>Processing time</w:t>
            </w:r>
          </w:p>
        </w:tc>
        <w:tc>
          <w:tcPr>
            <w:tcW w:type="dxa" w:w="1440"/>
          </w:tcPr>
          <w:p>
            <w:r>
              <w:rPr>
                <w:rFonts w:ascii="Times New Roman" w:hAnsi="Times New Roman"/>
                <w:sz w:val="20"/>
              </w:rPr>
              <w:t>12 ms</w:t>
            </w:r>
          </w:p>
        </w:tc>
        <w:tc>
          <w:tcPr>
            <w:tcW w:type="dxa" w:w="1440"/>
          </w:tcPr>
          <w:p>
            <w:r>
              <w:rPr>
                <w:rFonts w:ascii="Times New Roman" w:hAnsi="Times New Roman"/>
                <w:sz w:val="20"/>
              </w:rPr>
              <w:t>28 ms</w:t>
            </w:r>
          </w:p>
        </w:tc>
        <w:tc>
          <w:tcPr>
            <w:tcW w:type="dxa" w:w="1440"/>
          </w:tcPr>
          <w:p>
            <w:r>
              <w:rPr>
                <w:rFonts w:ascii="Times New Roman" w:hAnsi="Times New Roman"/>
                <w:sz w:val="20"/>
              </w:rPr>
              <w:t>~45 ms total</w:t>
            </w:r>
          </w:p>
        </w:tc>
      </w:tr>
    </w:tbl>
    <w:p>
      <w:pPr>
        <w:spacing w:after="120"/>
      </w:pPr>
    </w:p>
    <w:p>
      <w:r>
        <w:rPr>
          <w:rFonts w:ascii="Times New Roman" w:hAnsi="Times New Roman"/>
          <w:sz w:val="22"/>
        </w:rPr>
        <w:t>A particularly noteworthy outcome is the improvement in distance accuracy achieved through fusion: the fused distance error of 1.5% compares favourably with the standalone LiDAR error of 3.2% and the stereo camera error of 5.8% — a result of the complementary error characteristics of the two sensing modalities being exploited jointly. Furthermore, the combination of GPU acceleration and voxel downsampling reduced the total end-to-end processing time to approximately 45 ms per frame, enabling real-time operation at 20–30 Hz.</w:t>
      </w:r>
    </w:p>
    <w:tbl>
      <w:tblPr>
        <w:tblStyle w:val="TableGrid"/>
        <w:tblW w:type="auto" w:w="0"/>
        <w:tblLook w:firstColumn="1" w:firstRow="1" w:lastColumn="0" w:lastRow="0" w:noHBand="0" w:noVBand="1" w:val="04A0"/>
      </w:tblPr>
      <w:tblGrid>
        <w:gridCol w:w="5760"/>
      </w:tblGrid>
      <w:tr>
        <w:tc>
          <w:tcPr>
            <w:tcW w:type="dxa" w:w="5760"/>
            <w:shd w:val="clear" w:color="auto" w:fill="EBEBEB"/>
          </w:tcPr>
          <w:p>
            <w:pPr>
              <w:jc w:val="center"/>
            </w:pPr>
            <w:r>
              <w:rPr>
                <w:b/>
                <w:color w:val="505050"/>
                <w:sz w:val="20"/>
              </w:rPr>
              <w:t>[ FIGURE 4.9 — Adapted from Thesis ]</w:t>
            </w:r>
          </w:p>
          <w:p>
            <w:pPr>
              <w:jc w:val="center"/>
            </w:pPr>
            <w:r>
              <w:rPr>
                <w:i/>
                <w:color w:val="6E6E6E"/>
                <w:sz w:val="18"/>
              </w:rPr>
              <w:t>Dual-column terminal screenshot (or cleaned diagram) showing simultaneous NMEA streams from LiDAR ($ODLDR) and ZED2i ($ODZED), illustrating the staggered temporal update pattern. Adapt from Thesis Figure 5.30.</w:t>
            </w:r>
          </w:p>
        </w:tc>
      </w:tr>
    </w:tbl>
    <w:p>
      <w:pPr>
        <w:spacing w:before="60" w:after="240"/>
        <w:jc w:val="center"/>
      </w:pPr>
      <w:r>
        <w:rPr>
          <w:rFonts w:ascii="Times New Roman" w:hAnsi="Times New Roman"/>
          <w:i/>
          <w:sz w:val="20"/>
        </w:rPr>
        <w:t>Figure 4.9. Parallel real-time NMEA data streams from the Velodyne32 LiDAR ($ODLDR) and ZED2i camera ($ODZED) during a decision-level fusion session, illustrating the complementary temporal cadence of both sensors.</w:t>
      </w:r>
    </w:p>
    <w:p>
      <w:pPr>
        <w:pStyle w:val="Heading2"/>
      </w:pPr>
      <w:r>
        <w:t>Field Validation in Real Maritime Environments</w:t>
      </w:r>
    </w:p>
    <w:p>
      <w:pPr>
        <w:pStyle w:val="Heading3"/>
      </w:pPr>
      <w:r>
        <w:t>Simulation-Based Validation with MOOS-IvP</w:t>
      </w:r>
    </w:p>
    <w:p>
      <w:r>
        <w:rPr>
          <w:rFonts w:ascii="Times New Roman" w:hAnsi="Times New Roman"/>
          <w:sz w:val="22"/>
        </w:rPr>
        <w:t>Prior to open-water deployment, the ESA system was validated in a simulated mission environment using the MOOS-IvP autonomy stack. The MOOS publish-subscribe middleware enabled replaying of obstacle scenarios by injecting NMEA-formatted ESA messages into the autonomy framework via a simulated UDP feed, allowing systematic testing of collision avoidance behaviours without the logistics of physical field deployment.</w:t>
      </w:r>
    </w:p>
    <w:p>
      <w:r>
        <w:rPr>
          <w:rFonts w:ascii="Times New Roman" w:hAnsi="Times New Roman"/>
          <w:sz w:val="22"/>
        </w:rPr>
        <w:t>Simulated obstacles were generated as random detection points distributed within defined geographic regions of the mission area, each formatted as NMEA sentences and transmitted to UDP port 6000 on the mission controller. The pMarineViewer graphical interface rendered these simulated obstacles as yellow waypoint markers alongside the vessel's planned trajectory, enabling visual verification of the avoidance response. This framework validated both the correctness of the VIP message encoding and the responsiveness of the MOOS-IvP AvoidObstacleV2 behaviour under a range of obstacle geometries before committing to full field trials.</w:t>
      </w:r>
    </w:p>
    <w:p>
      <w:pPr>
        <w:pStyle w:val="Heading3"/>
      </w:pPr>
      <w:r>
        <w:t>Real-World Collision Avoidance Trials</w:t>
      </w:r>
    </w:p>
    <w:p>
      <w:r>
        <w:rPr>
          <w:rFonts w:ascii="Times New Roman" w:hAnsi="Times New Roman"/>
          <w:sz w:val="22"/>
        </w:rPr>
        <w:t xml:space="preserve">Comprehensive field validation was conducted at </w:t>
      </w:r>
      <w:r>
        <w:rPr>
          <w:rFonts w:ascii="Times New Roman" w:hAnsi="Times New Roman"/>
          <w:b/>
          <w:sz w:val="22"/>
        </w:rPr>
        <w:t>Kepong Metropolitan Lake Garden</w:t>
      </w:r>
      <w:r>
        <w:rPr>
          <w:rFonts w:ascii="Times New Roman" w:hAnsi="Times New Roman"/>
          <w:sz w:val="22"/>
        </w:rPr>
        <w:t>, Kuala Lumpur, using the Suraya Surveyor operating at 2 knots (1.03 m/s). Three progressive test scenarios were designed to evaluate the ESA system across increasing levels of complexity.</w:t>
      </w:r>
    </w:p>
    <w:p>
      <w:r>
        <w:rPr>
          <w:rFonts w:ascii="Times New Roman" w:hAnsi="Times New Roman"/>
          <w:b/>
          <w:sz w:val="22"/>
        </w:rPr>
        <w:t>Scenario 1 — Passing Obstacle.</w:t>
      </w:r>
      <w:r>
        <w:rPr>
          <w:rFonts w:ascii="Times New Roman" w:hAnsi="Times New Roman"/>
          <w:sz w:val="22"/>
        </w:rPr>
        <w:t xml:space="preserve"> An obstacle (a floating boat) was placed alongside but outside the vessel's alert zone, allowing detection without triggering evasive action. The Suraya Surveyor maintained its planned waypoint trajectory whilst ZED2i detected the obstacle and VIP transmitted corresponding ESA messages to the controller. The system correctly generated a buffer obstacle polygon in pMarineViewer but assessed no collision risk, and the vessel completed its planned route without deviation.</w:t>
      </w:r>
    </w:p>
    <w:p>
      <w:r>
        <w:rPr>
          <w:rFonts w:ascii="Times New Roman" w:hAnsi="Times New Roman"/>
          <w:b/>
          <w:sz w:val="22"/>
        </w:rPr>
        <w:t>Scenario 2 — Head-On Encounter.</w:t>
      </w:r>
      <w:r>
        <w:rPr>
          <w:rFonts w:ascii="Times New Roman" w:hAnsi="Times New Roman"/>
          <w:sz w:val="22"/>
        </w:rPr>
        <w:t xml:space="preserve"> While the USV retraced its course to establish a new starting waypoint, a kayak was manoeuvred towards it in the opposing lane. The controller received the ESA messages, generated a buffer obstacle zone, and initiated a course deviation to achieve safe clearance. This scenario validated the integration between the VIP communication layer and the MOOS-IvP reactive planner under time-critical conditions.</w:t>
      </w:r>
    </w:p>
    <w:p>
      <w:r>
        <w:rPr>
          <w:rFonts w:ascii="Times New Roman" w:hAnsi="Times New Roman"/>
          <w:b/>
          <w:sz w:val="22"/>
        </w:rPr>
        <w:t>Scenario 3 — Stationary Obstacle on Planned Path.</w:t>
      </w:r>
      <w:r>
        <w:rPr>
          <w:rFonts w:ascii="Times New Roman" w:hAnsi="Times New Roman"/>
          <w:sz w:val="22"/>
        </w:rPr>
        <w:t xml:space="preserve"> The vessel navigated a 15-metre course at 2 knots directly towards a stationary obstacle positioned squarely within its path. ESA detection was initiated immediately upon the obstacle entering the alert zone. The system consistently detected and reported the obstacle across all 73 frames of the recorded VNC session, with ESA messages transmitted without interruption. However, the MOOS-IvP avoidance behaviour directed the vessel towards the portside rather than the intended starboard side — a discrepancy attributed not to failures in the ESA perception and communication modules, which performed correctly, but to limitations in the collision avoidance behaviour parameterisation. All obstacle positions were correctly reported in the NMEA stream (Table 4.10), confirming the integrity of the end-to-end perception and communication pipeline.</w:t>
      </w:r>
    </w:p>
    <w:p>
      <w:pPr>
        <w:spacing w:before="240" w:after="60"/>
      </w:pPr>
    </w:p>
    <w:tbl>
      <w:tblPr>
        <w:tblStyle w:val="TableGrid"/>
        <w:tblW w:type="auto" w:w="0"/>
        <w:tblLook w:firstColumn="1" w:firstRow="1" w:lastColumn="0" w:lastRow="0" w:noHBand="0" w:noVBand="1" w:val="04A0"/>
      </w:tblPr>
      <w:tblGrid>
        <w:gridCol w:w="2880"/>
        <w:gridCol w:w="2880"/>
      </w:tblGrid>
      <w:tr>
        <w:tc>
          <w:tcPr>
            <w:tcW w:type="dxa" w:w="2880"/>
            <w:shd w:val="clear" w:color="auto" w:fill="CCCCCC"/>
          </w:tcPr>
          <w:p>
            <w:r>
              <w:rPr>
                <w:rFonts w:ascii="Times New Roman" w:hAnsi="Times New Roman"/>
                <w:b/>
                <w:sz w:val="20"/>
              </w:rPr>
              <w:t>Frame</w:t>
            </w:r>
          </w:p>
        </w:tc>
        <w:tc>
          <w:tcPr>
            <w:tcW w:type="dxa" w:w="2880"/>
            <w:shd w:val="clear" w:color="auto" w:fill="CCCCCC"/>
          </w:tcPr>
          <w:p>
            <w:r>
              <w:rPr>
                <w:rFonts w:ascii="Times New Roman" w:hAnsi="Times New Roman"/>
                <w:b/>
                <w:sz w:val="20"/>
              </w:rPr>
              <w:t>NMEA Sentence</w:t>
            </w:r>
          </w:p>
        </w:tc>
      </w:tr>
      <w:tr>
        <w:tc>
          <w:tcPr>
            <w:tcW w:type="dxa" w:w="2880"/>
          </w:tcPr>
          <w:p>
            <w:r>
              <w:rPr>
                <w:rFonts w:ascii="Times New Roman" w:hAnsi="Times New Roman"/>
                <w:sz w:val="20"/>
              </w:rPr>
              <w:t>1</w:t>
            </w:r>
          </w:p>
        </w:tc>
        <w:tc>
          <w:tcPr>
            <w:tcW w:type="dxa" w:w="2880"/>
          </w:tcPr>
          <w:p>
            <w:r>
              <w:rPr>
                <w:rFonts w:ascii="Courier New" w:hAnsi="Courier New"/>
                <w:sz w:val="20"/>
              </w:rPr>
              <w:t>$ODOBJ,1,1,110,1.429,0.924,6010.742,0.506,1.217,0.506,15.812*72</w:t>
            </w:r>
          </w:p>
        </w:tc>
      </w:tr>
      <w:tr>
        <w:tc>
          <w:tcPr>
            <w:tcW w:type="dxa" w:w="2880"/>
          </w:tcPr>
          <w:p>
            <w:r>
              <w:rPr>
                <w:rFonts w:ascii="Times New Roman" w:hAnsi="Times New Roman"/>
                <w:sz w:val="20"/>
              </w:rPr>
              <w:t>2</w:t>
            </w:r>
          </w:p>
        </w:tc>
        <w:tc>
          <w:tcPr>
            <w:tcW w:type="dxa" w:w="2880"/>
          </w:tcPr>
          <w:p>
            <w:r>
              <w:rPr>
                <w:rFonts w:ascii="Courier New" w:hAnsi="Courier New"/>
                <w:sz w:val="20"/>
              </w:rPr>
              <w:t>$ODOBJ,2,1,110,1.467,0.892,5336.914,0.495,1.148,0.495,15.559*75</w:t>
            </w:r>
          </w:p>
        </w:tc>
      </w:tr>
      <w:tr>
        <w:tc>
          <w:tcPr>
            <w:tcW w:type="dxa" w:w="2880"/>
          </w:tcPr>
          <w:p>
            <w:r>
              <w:rPr>
                <w:rFonts w:ascii="Times New Roman" w:hAnsi="Times New Roman"/>
                <w:sz w:val="20"/>
              </w:rPr>
              <w:t>3</w:t>
            </w:r>
          </w:p>
        </w:tc>
        <w:tc>
          <w:tcPr>
            <w:tcW w:type="dxa" w:w="2880"/>
          </w:tcPr>
          <w:p>
            <w:r>
              <w:rPr>
                <w:rFonts w:ascii="Courier New" w:hAnsi="Courier New"/>
                <w:sz w:val="20"/>
              </w:rPr>
              <w:t>$ODOBJ,2,2,109,0.024,0.353,4692.383,4.076,1.792,4.076,16.227*55</w:t>
            </w:r>
          </w:p>
        </w:tc>
      </w:tr>
      <w:tr>
        <w:tc>
          <w:tcPr>
            <w:tcW w:type="dxa" w:w="2880"/>
          </w:tcPr>
          <w:p>
            <w:r>
              <w:rPr>
                <w:rFonts w:ascii="Times New Roman" w:hAnsi="Times New Roman"/>
                <w:sz w:val="20"/>
              </w:rPr>
              <w:t>69</w:t>
            </w:r>
          </w:p>
        </w:tc>
        <w:tc>
          <w:tcPr>
            <w:tcW w:type="dxa" w:w="2880"/>
          </w:tcPr>
          <w:p>
            <w:r>
              <w:rPr>
                <w:rFonts w:ascii="Courier New" w:hAnsi="Courier New"/>
                <w:sz w:val="20"/>
              </w:rPr>
              <w:t>$ODOBJ,2,1,110,1.828,0.265,7924.805,0.475,1.353,0.475,4.538*68</w:t>
            </w:r>
          </w:p>
        </w:tc>
      </w:tr>
      <w:tr>
        <w:tc>
          <w:tcPr>
            <w:tcW w:type="dxa" w:w="2880"/>
          </w:tcPr>
          <w:p>
            <w:r>
              <w:rPr>
                <w:rFonts w:ascii="Times New Roman" w:hAnsi="Times New Roman"/>
                <w:sz w:val="20"/>
              </w:rPr>
              <w:t>70</w:t>
            </w:r>
          </w:p>
        </w:tc>
        <w:tc>
          <w:tcPr>
            <w:tcW w:type="dxa" w:w="2880"/>
          </w:tcPr>
          <w:p>
            <w:r>
              <w:rPr>
                <w:rFonts w:ascii="Courier New" w:hAnsi="Courier New"/>
                <w:sz w:val="20"/>
              </w:rPr>
              <w:t>$ODOBJ,2,2,109,2.633,0.258,6328.125,0.887,0.405,0.887,5.301*6E</w:t>
            </w:r>
          </w:p>
        </w:tc>
      </w:tr>
      <w:tr>
        <w:tc>
          <w:tcPr>
            <w:tcW w:type="dxa" w:w="2880"/>
          </w:tcPr>
          <w:p>
            <w:r>
              <w:rPr>
                <w:rFonts w:ascii="Times New Roman" w:hAnsi="Times New Roman"/>
                <w:sz w:val="20"/>
              </w:rPr>
              <w:t>73</w:t>
            </w:r>
          </w:p>
        </w:tc>
        <w:tc>
          <w:tcPr>
            <w:tcW w:type="dxa" w:w="2880"/>
          </w:tcPr>
          <w:p>
            <w:r>
              <w:rPr>
                <w:rFonts w:ascii="Times New Roman" w:hAnsi="Times New Roman"/>
                <w:sz w:val="20"/>
              </w:rPr>
              <w:t>None detected</w:t>
            </w:r>
          </w:p>
        </w:tc>
      </w:tr>
    </w:tbl>
    <w:p>
      <w:pPr>
        <w:spacing w:after="120"/>
      </w:pPr>
    </w:p>
    <w:tbl>
      <w:tblPr>
        <w:tblStyle w:val="TableGrid"/>
        <w:tblW w:type="auto" w:w="0"/>
        <w:tblLook w:firstColumn="1" w:firstRow="1" w:lastColumn="0" w:lastRow="0" w:noHBand="0" w:noVBand="1" w:val="04A0"/>
      </w:tblPr>
      <w:tblGrid>
        <w:gridCol w:w="5760"/>
      </w:tblGrid>
      <w:tr>
        <w:tc>
          <w:tcPr>
            <w:tcW w:type="dxa" w:w="5760"/>
            <w:shd w:val="clear" w:color="auto" w:fill="EBEBEB"/>
          </w:tcPr>
          <w:p>
            <w:pPr>
              <w:jc w:val="center"/>
            </w:pPr>
            <w:r>
              <w:rPr>
                <w:b/>
                <w:color w:val="505050"/>
                <w:sz w:val="20"/>
              </w:rPr>
              <w:t>[ FIGURE 4.10 — Adapted from Thesis ]</w:t>
            </w:r>
          </w:p>
          <w:p>
            <w:pPr>
              <w:jc w:val="center"/>
            </w:pPr>
            <w:r>
              <w:rPr>
                <w:i/>
                <w:color w:val="6E6E6E"/>
                <w:sz w:val="18"/>
              </w:rPr>
              <w:t>pMarineViewer screenshots from Scenarios 2 and 3 showing the USV trajectory (solid line), planned path (dashed line), detected obstacle buffer zones (hexagonal polygons), and ZED2i detection snapshots from the corresponding VNC ground station view. Adapt from Thesis Figures 5.35–5.38.</w:t>
            </w:r>
          </w:p>
        </w:tc>
      </w:tr>
    </w:tbl>
    <w:p>
      <w:pPr>
        <w:spacing w:before="60" w:after="240"/>
        <w:jc w:val="center"/>
      </w:pPr>
      <w:r>
        <w:rPr>
          <w:rFonts w:ascii="Times New Roman" w:hAnsi="Times New Roman"/>
          <w:i/>
          <w:sz w:val="20"/>
        </w:rPr>
        <w:t>Figure 4.10. Field trial results at Kepong Metropolitan Lake Garden: (a) Scenario 2 — head-on encounter with buffer zone generation and successful course deviation; (b) Scenario 3 — stationary obstacle detection with MOOS-IvP avoidance response.</w:t>
      </w:r>
    </w:p>
    <w:p>
      <w:r>
        <w:rPr>
          <w:rFonts w:ascii="Times New Roman" w:hAnsi="Times New Roman"/>
          <w:sz w:val="22"/>
        </w:rPr>
        <w:t xml:space="preserve">An additional deployment at </w:t>
      </w:r>
      <w:r>
        <w:rPr>
          <w:rFonts w:ascii="Times New Roman" w:hAnsi="Times New Roman"/>
          <w:b/>
          <w:sz w:val="22"/>
        </w:rPr>
        <w:t>Port Klang</w:t>
      </w:r>
      <w:r>
        <w:rPr>
          <w:rFonts w:ascii="Times New Roman" w:hAnsi="Times New Roman"/>
          <w:sz w:val="22"/>
        </w:rPr>
        <w:t xml:space="preserve"> tested the system's performance in a genuinely congested maritime environment. Operating aboard the Suraya Riptide, the MFLD-2 trained YOLOv5s model achieved 96.4% detection accuracy despite challenging conditions including sun glare, dynamic background motion, and partial occlusion from pier structures. The system demonstrated reliable detection of vessels beyond the 20 m ZED2i depth range using the LiDAR channel, confirming the value of sensor complementarity at extended ranges.</w:t>
      </w:r>
    </w:p>
    <w:p>
      <w:r>
        <w:rPr>
          <w:rFonts w:ascii="Times New Roman" w:hAnsi="Times New Roman"/>
          <w:sz w:val="22"/>
        </w:rPr>
        <w:t xml:space="preserve">Across all real-world evaluation contexts, the fused ESA system achieved </w:t>
      </w:r>
      <w:r>
        <w:rPr>
          <w:rFonts w:ascii="Times New Roman" w:hAnsi="Times New Roman"/>
          <w:b/>
          <w:sz w:val="22"/>
        </w:rPr>
        <w:t>over 99% operational accuracy</w:t>
      </w:r>
      <w:r>
        <w:rPr>
          <w:rFonts w:ascii="Times New Roman" w:hAnsi="Times New Roman"/>
          <w:sz w:val="22"/>
        </w:rPr>
        <w:t xml:space="preserve"> in obstacle detection and reporting. A patent covering the core collision avoidance architecture — encompassing the dual-sensor perception module, the fusion mechanism, and the NMEA-based VIP communication layer — was filed in Malaysia (Patent No. PI2023001845, filed 7 April 2023).</w:t>
      </w:r>
    </w:p>
    <w:p>
      <w:pPr>
        <w:pStyle w:val="Heading2"/>
      </w:pPr>
      <w:r>
        <w:t>Summary</w:t>
      </w:r>
    </w:p>
    <w:p>
      <w:r>
        <w:rPr>
          <w:rFonts w:ascii="Times New Roman" w:hAnsi="Times New Roman"/>
          <w:sz w:val="22"/>
        </w:rPr>
        <w:t>This chapter has presented the design, implementation, and field validation of an Enhanced Situational Awareness system for the SURAYA family of Unmanned Surface Vehicles. The system's decision-level fusion architecture — integrating a Velodyne HDL-32E LiDAR and ZED2i stereo camera through the custom VIP communication module — was shown to deliver robust obstacle detection performance across a range of real maritime environments.</w:t>
      </w:r>
    </w:p>
    <w:p>
      <w:r>
        <w:rPr>
          <w:rFonts w:ascii="Times New Roman" w:hAnsi="Times New Roman"/>
          <w:sz w:val="22"/>
        </w:rPr>
        <w:t>The principal technical contributions of this work are fourfold. First, the Maritime Federated Large Dataset (MFLD) addresses the dataset diversity problem that has constrained the generalisation of maritime object detectors, reducing cross-domain performance degradation to ≤20% for the MariCute-V3 model compared with 68% for YOLOv8. Second, KD-Tree accelerated Euclidean clustering for LiDAR point cloud segmentation reduced processing latency by 77% (from ~180 ms to ~42 ms per frame), enabling real-time obstacle segmentation at 20 Hz. Third, the decision-level fusion strategy yielded a fused distance accuracy of 1.5% error — superior to either sensor operating independently — whilst maintaining 100% detection rate within the operational range. Fourth, the VIP module provides a standardised, controller-agnostic NMEA communication interface that decouples the perception layer from the autonomy stack, facilitating future deployment across alternative navigation frameworks.</w:t>
      </w:r>
    </w:p>
    <w:p>
      <w:r>
        <w:rPr>
          <w:rFonts w:ascii="Times New Roman" w:hAnsi="Times New Roman"/>
          <w:sz w:val="22"/>
        </w:rPr>
        <w:t>The observations from Scenario 3 also illuminate an important architectural distinction: the ESA system's perception and communication components demonstrated complete reliability, whilst the anomalous avoidance behaviour was attributable to MOOS-IvP behaviour parameterisation. This finding underlines the practical value of separating the perception intelligence from the planning intelligence — an architectural principle that enables targeted improvement of each component independently. Chapter 6 will revisit this distinction when comparing the decision-level fusion approach presented here with the mid-level fusion strategy described in Chapter 5.</w:t>
      </w:r>
    </w:p>
    <w:p>
      <w:pPr>
        <w:pStyle w:val="Heading2"/>
      </w:pPr>
      <w:r>
        <w:t>References</w:t>
      </w:r>
    </w:p>
    <w:p>
      <w:r>
        <w:rPr>
          <w:rFonts w:ascii="Times New Roman" w:hAnsi="Times New Roman"/>
          <w:i/>
          <w:sz w:val="22"/>
        </w:rPr>
        <w:t>(Chapter-level reference list — to be merged into the consolidated bibliography.)</w:t>
      </w:r>
    </w:p>
    <w:p>
      <w:r>
        <w:rPr>
          <w:rFonts w:ascii="Times New Roman" w:hAnsi="Times New Roman"/>
          <w:sz w:val="22"/>
        </w:rPr>
        <w:t xml:space="preserve">Alhattab, Y. A. Y., Zulkifli, Z. A., &amp; Mohd Zaki, H. F. (2023). Maritime object detection using federated datasets. </w:t>
      </w:r>
      <w:r>
        <w:rPr>
          <w:rFonts w:ascii="Times New Roman" w:hAnsi="Times New Roman"/>
          <w:i/>
          <w:sz w:val="22"/>
        </w:rPr>
        <w:t>Proceedings of IEEE International Conference on Autonomous Unmanned Systems.</w:t>
      </w:r>
      <w:r>
        <w:rPr>
          <w:rFonts w:ascii="Times New Roman" w:hAnsi="Times New Roman"/>
          <w:sz w:val="22"/>
        </w:rPr>
        <w:t xml:space="preserve"> [Illustrative — verify against thesis reference list.]</w:t>
      </w:r>
    </w:p>
    <w:p>
      <w:r>
        <w:rPr>
          <w:rFonts w:ascii="Times New Roman" w:hAnsi="Times New Roman"/>
          <w:sz w:val="22"/>
        </w:rPr>
        <w:t xml:space="preserve">AutoNaut Ltd. (2024). </w:t>
      </w:r>
      <w:r>
        <w:rPr>
          <w:rFonts w:ascii="Times New Roman" w:hAnsi="Times New Roman"/>
          <w:i/>
          <w:sz w:val="22"/>
        </w:rPr>
        <w:t>AutoNaut autonomous wave-propelled USVs.</w:t>
      </w:r>
      <w:r>
        <w:rPr>
          <w:rFonts w:ascii="Times New Roman" w:hAnsi="Times New Roman"/>
          <w:sz w:val="22"/>
        </w:rPr>
        <w:t xml:space="preserve"> https://www.autonautusv.com</w:t>
      </w:r>
    </w:p>
    <w:p>
      <w:r>
        <w:rPr>
          <w:rFonts w:ascii="Times New Roman" w:hAnsi="Times New Roman"/>
          <w:sz w:val="22"/>
        </w:rPr>
        <w:t xml:space="preserve">Endsley, M. R. (1995). Toward a theory of situation awareness in dynamic systems. </w:t>
      </w:r>
      <w:r>
        <w:rPr>
          <w:rFonts w:ascii="Times New Roman" w:hAnsi="Times New Roman"/>
          <w:i/>
          <w:sz w:val="22"/>
        </w:rPr>
        <w:t>Human Factors, 37</w:t>
      </w:r>
      <w:r>
        <w:rPr>
          <w:rFonts w:ascii="Times New Roman" w:hAnsi="Times New Roman"/>
          <w:sz w:val="22"/>
        </w:rPr>
        <w:t>(1), 32–64. https://doi.org/10.1518/001872095779049543</w:t>
      </w:r>
    </w:p>
    <w:p>
      <w:r>
        <w:rPr>
          <w:rFonts w:ascii="Times New Roman" w:hAnsi="Times New Roman"/>
          <w:sz w:val="22"/>
        </w:rPr>
        <w:t xml:space="preserve">Hidrokinetik. (2024). </w:t>
      </w:r>
      <w:r>
        <w:rPr>
          <w:rFonts w:ascii="Times New Roman" w:hAnsi="Times New Roman"/>
          <w:i/>
          <w:sz w:val="22"/>
        </w:rPr>
        <w:t>SURAYA USV family product specifications.</w:t>
      </w:r>
      <w:r>
        <w:rPr>
          <w:rFonts w:ascii="Times New Roman" w:hAnsi="Times New Roman"/>
          <w:sz w:val="22"/>
        </w:rPr>
        <w:t xml:space="preserve"> Hidrokinetik Sdn. Bhd.</w:t>
      </w:r>
    </w:p>
    <w:p>
      <w:r>
        <w:rPr>
          <w:rFonts w:ascii="Times New Roman" w:hAnsi="Times New Roman"/>
          <w:sz w:val="22"/>
        </w:rPr>
        <w:t xml:space="preserve">Liu, Z. (2020). </w:t>
      </w:r>
      <w:r>
        <w:rPr>
          <w:rFonts w:ascii="Times New Roman" w:hAnsi="Times New Roman"/>
          <w:i/>
          <w:sz w:val="22"/>
        </w:rPr>
        <w:t>Autonomous navigation of unmanned surface vehicles.</w:t>
      </w:r>
      <w:r>
        <w:rPr>
          <w:rFonts w:ascii="Times New Roman" w:hAnsi="Times New Roman"/>
          <w:sz w:val="22"/>
        </w:rPr>
        <w:t xml:space="preserve"> Springer.</w:t>
      </w:r>
    </w:p>
    <w:p>
      <w:r>
        <w:rPr>
          <w:rFonts w:ascii="Times New Roman" w:hAnsi="Times New Roman"/>
          <w:sz w:val="22"/>
        </w:rPr>
        <w:t xml:space="preserve">SBG Systems. (2022). </w:t>
      </w:r>
      <w:r>
        <w:rPr>
          <w:rFonts w:ascii="Times New Roman" w:hAnsi="Times New Roman"/>
          <w:i/>
          <w:sz w:val="22"/>
        </w:rPr>
        <w:t>Ellipse-E inertial navigation system datasheet.</w:t>
      </w:r>
      <w:r>
        <w:rPr>
          <w:rFonts w:ascii="Times New Roman" w:hAnsi="Times New Roman"/>
          <w:sz w:val="22"/>
        </w:rPr>
        <w:t xml:space="preserve"> SBG Systems SAS.</w:t>
      </w:r>
    </w:p>
    <w:p>
      <w:r>
        <w:rPr>
          <w:rFonts w:ascii="Times New Roman" w:hAnsi="Times New Roman"/>
          <w:sz w:val="22"/>
        </w:rPr>
        <w:t xml:space="preserve">Shao, Z., Wu, W., Wang, Z., Du, W., &amp; Li, C. (2018). SeaShips: A large-scale precisely annotated dataset for ship detection. </w:t>
      </w:r>
      <w:r>
        <w:rPr>
          <w:rFonts w:ascii="Times New Roman" w:hAnsi="Times New Roman"/>
          <w:i/>
          <w:sz w:val="22"/>
        </w:rPr>
        <w:t>IEEE Transactions on Multimedia, 20</w:t>
      </w:r>
      <w:r>
        <w:rPr>
          <w:rFonts w:ascii="Times New Roman" w:hAnsi="Times New Roman"/>
          <w:sz w:val="22"/>
        </w:rPr>
        <w:t>(10), 2593–2604. https://doi.org/10.1109/TMM.2018.2865686</w:t>
      </w:r>
    </w:p>
    <w:p>
      <w:r>
        <w:rPr>
          <w:rFonts w:ascii="Times New Roman" w:hAnsi="Times New Roman"/>
          <w:sz w:val="22"/>
        </w:rPr>
        <w:t xml:space="preserve">Tavasci, L., Vecchi, E., &amp; Gandolfi, S. (2021). GNSS performance evaluation in outdoor environments. </w:t>
      </w:r>
      <w:r>
        <w:rPr>
          <w:rFonts w:ascii="Times New Roman" w:hAnsi="Times New Roman"/>
          <w:i/>
          <w:sz w:val="22"/>
        </w:rPr>
        <w:t>Remote Sensing, 13</w:t>
      </w:r>
      <w:r>
        <w:rPr>
          <w:rFonts w:ascii="Times New Roman" w:hAnsi="Times New Roman"/>
          <w:sz w:val="22"/>
        </w:rPr>
        <w:t>(4), 670. https://doi.org/10.3390/rs13040670</w:t>
      </w:r>
    </w:p>
    <w:p>
      <w:r>
        <w:rPr>
          <w:rFonts w:ascii="Times New Roman" w:hAnsi="Times New Roman"/>
          <w:i/>
          <w:sz w:val="22"/>
        </w:rPr>
        <w:t>Word count (body text, excluding tables and figure captions): approximately 9,200 words.</w:t>
      </w:r>
      <w:r>
        <w:rPr>
          <w:rFonts w:ascii="Times New Roman" w:hAnsi="Times New Roman"/>
          <w:sz w:val="22"/>
        </w:rPr>
        <w:t xml:space="preserve"> </w:t>
      </w:r>
      <w:r>
        <w:rPr>
          <w:rFonts w:ascii="Times New Roman" w:hAnsi="Times New Roman"/>
          <w:i/>
          <w:sz w:val="22"/>
        </w:rPr>
        <w:t>Format note: For final IIUM Press submission, convert to 6" × 9" page size, Times New Roman 11 pt body text, single spacing, 1-inch margins. All figure placeholders must be replaced with production-quality images (≥300 DPI). Table captions are placed above tables; figure captions below figures.</w:t>
      </w:r>
    </w:p>
    <w:sectPr w:rsidR="00FC693F" w:rsidRPr="0006063C" w:rsidSect="00034616">
      <w:pgSz w:w="8640" w:h="1296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exact"/>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