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5: Mid-Level LiDAR–Stereo Geospatial Feature Fusion with Adaptive Confidence Weighting: The M-ACF Net Framework</w:t>
      </w:r>
    </w:p>
    <w:p>
      <w:pPr>
        <w:spacing w:after="40"/>
      </w:pPr>
      <w:r>
        <w:rPr>
          <w:b/>
        </w:rPr>
        <w:t>Muhammad Aiman bin Norazaruddin</w:t>
      </w:r>
    </w:p>
    <w:p>
      <w:pPr>
        <w:spacing w:after="240"/>
      </w:pPr>
      <w:r>
        <w:rPr>
          <w:i/>
        </w:rPr>
        <w:t>Kulliyyah of Engineering, International Islamic University Malaysia</w:t>
      </w:r>
    </w:p>
    <w:p>
      <w:pPr>
        <w:pStyle w:val="Heading2"/>
      </w:pPr>
      <w:r>
        <w:t>5.1  Introduction</w:t>
      </w:r>
    </w:p>
    <w:p>
      <w:r>
        <w:rPr>
          <w:rFonts w:ascii="Times New Roman" w:hAnsi="Times New Roman"/>
          <w:sz w:val="22"/>
        </w:rPr>
        <w:t>Near-shore maritime environments present a uniquely demanding context for autonomous surface navigation: water reflections, dynamic background clutter, partial occlusions from pier structures, and rapid scene changes challenge even sophisticated single-modality perception systems. Whilst decision-level fusion — in which each sensor independently generates object detections that are subsequently combined — offers practical modularity and fault-tolerance, it inherently limits the depth of cross-modal information exchange. The approach presented in this chapter addresses this limitation by fusing complementary sensor representations at an intermediate feature level, before final object hypotheses are formed, thereby enabling richer spatial–semantic integration.</w:t>
      </w:r>
    </w:p>
    <w:p>
      <w:r>
        <w:rPr>
          <w:rFonts w:ascii="Times New Roman" w:hAnsi="Times New Roman"/>
          <w:sz w:val="22"/>
        </w:rPr>
        <w:t xml:space="preserve">This chapter presents the </w:t>
      </w:r>
      <w:r>
        <w:rPr>
          <w:rFonts w:ascii="Times New Roman" w:hAnsi="Times New Roman"/>
          <w:b/>
          <w:sz w:val="22"/>
        </w:rPr>
        <w:t>Maritime Adaptive Confidence Fusion Network (M-ACF Net)</w:t>
      </w:r>
      <w:r>
        <w:rPr>
          <w:rFonts w:ascii="Times New Roman" w:hAnsi="Times New Roman"/>
          <w:sz w:val="22"/>
        </w:rPr>
        <w:t>, a mid-level LiDAR–stereo fusion framework designed for geospatial obstacle awareness aboard the Suraya Riptide Unmanned Surface Vehicle (USV). M-ACF Net integrates LiDAR point cloud geometry with stereo-derived visual features through a dynamic confidence-weighted fusion mechanism, followed by a Hybrid PCA–K-Means clustering stage for 3D obstacle localisation. The resulting obstacle state — position, heading, and estimated extent — is transmitted to a custom Guidance, Navigation, and Control (GNC) framework enabling real-time autonomous navigation and collision avoidance.</w:t>
      </w:r>
    </w:p>
    <w:p>
      <w:r>
        <w:rPr>
          <w:rFonts w:ascii="Times New Roman" w:hAnsi="Times New Roman"/>
          <w:sz w:val="22"/>
        </w:rPr>
        <w:t>Key contributions presented in this chapter are: (i) a mid-level confidence-weighted fusion architecture that dynamically adjusts the contribution of LiDAR and stereo features based on per-frame sensor reliability estimates; (ii) a Pseudo-LiDAR generation pipeline that transforms stereo disparity maps into 3D point representations compatible with LiDAR feature spaces; (iii) a Hybrid PCA–K-Means obstacle clustering approach that aligns cluster orientation axes with obstacle heading before performing density-based segmentation; and (iv) a fully integrated GNC system validated across multiple real-world near-shore test environments.</w:t>
      </w:r>
    </w:p>
    <w:p>
      <w:r>
        <w:rPr>
          <w:rFonts w:ascii="Times New Roman" w:hAnsi="Times New Roman"/>
          <w:sz w:val="22"/>
        </w:rPr>
        <w:t>The chapter is organised as follows. Section 5.2 describes the Suraya Riptide platform and its sensor suite. Section 5.3 presents the M-ACF Net architecture and design rationale. Sections 5.4 and 5.5 detail the visual feature extraction (including Pseudo-LiDAR generation) and LiDAR point cloud processing pipelines respectively. Section 5.6 presents the confidence-weighted mid-level fusion mechanism. Section 5.7 describes the PCA–K-Means obstacle clustering stage. Dataset collection is described in Section 5.8, and GNC integration in Section 5.9. Experimental results are presented and discussed in Section 5.10. Section 5.11 concludes with a synthesis of contributions.</w:t>
      </w:r>
    </w:p>
    <w:p>
      <w:pPr>
        <w:pStyle w:val="Heading2"/>
      </w:pPr>
      <w:r>
        <w:t>5.2  The Suraya Riptide Platform and Sensor Configuration</w:t>
      </w:r>
    </w:p>
    <w:p>
      <w:pPr>
        <w:pStyle w:val="Heading3"/>
      </w:pPr>
      <w:r>
        <w:t>Platform Configuration and Operational Context</w:t>
      </w:r>
    </w:p>
    <w:p>
      <w:r>
        <w:rPr>
          <w:rFonts w:ascii="Times New Roman" w:hAnsi="Times New Roman"/>
          <w:sz w:val="22"/>
        </w:rPr>
        <w:t>The Suraya Riptide is a 2.1-metre twin-hull USV developed by the Centre for Unmanned Technologies (CUTe) at the International Islamic University Malaysia (IIUM) in collaboration with Hidrokinetik Group. Commissioned in 2022, the Riptide is the most compact member of the SURAYA family, designed specifically for manoeuvring in constrained near-shore waters — harbours, river channels, and coastal inlets — where its shallow draught and reduced cross-section offer operational advantages unavailable to larger vessels. Despite its compact footprint, the Riptide's deck accommodates a full multimodal sensor suite, an onboard computing unit, and communication hardware sufficient for autonomous mission execution.</w:t>
      </w:r>
    </w:p>
    <w:tbl>
      <w:tblPr>
        <w:tblStyle w:val="TableGrid"/>
        <w:tblW w:type="auto" w:w="0"/>
        <w:tblLook w:firstColumn="1" w:firstRow="1" w:lastColumn="0" w:lastRow="0" w:noHBand="0" w:noVBand="1" w:val="04A0"/>
      </w:tblPr>
      <w:tblGrid>
        <w:gridCol w:w="5760"/>
      </w:tblGrid>
      <w:tr>
        <w:tc>
          <w:tcPr>
            <w:tcW w:type="dxa" w:w="5760"/>
            <w:shd w:val="clear" w:color="auto" w:fill="EBEBEB"/>
          </w:tcPr>
          <w:p>
            <w:pPr>
              <w:jc w:val="center"/>
            </w:pPr>
            <w:r>
              <w:rPr>
                <w:b/>
                <w:color w:val="505050"/>
                <w:sz w:val="20"/>
              </w:rPr>
              <w:t>[ FIGURE 5.1 ]</w:t>
            </w:r>
          </w:p>
          <w:p>
            <w:pPr>
              <w:jc w:val="center"/>
            </w:pPr>
            <w:r>
              <w:rPr>
                <w:i/>
                <w:color w:val="6E6E6E"/>
                <w:sz w:val="18"/>
              </w:rPr>
              <w:t>Photograph of the Suraya Riptide USV with sensor suite annotated. Adapt from thesis platform photographs. Source: Authors.</w:t>
            </w:r>
          </w:p>
        </w:tc>
      </w:tr>
    </w:tbl>
    <w:p>
      <w:pPr>
        <w:spacing w:before="60" w:after="240"/>
        <w:jc w:val="center"/>
      </w:pPr>
      <w:r>
        <w:rPr>
          <w:rFonts w:ascii="Times New Roman" w:hAnsi="Times New Roman"/>
          <w:i/>
          <w:sz w:val="20"/>
        </w:rPr>
        <w:t>Figure 5.1. The Suraya Riptide USV deployed at near-shore test site, showing the integrated sensor suite comprising LiDAR, stereo camera, and navigation sensor modules.</w:t>
      </w:r>
    </w:p>
    <w:p>
      <w:pPr>
        <w:pStyle w:val="Heading3"/>
      </w:pPr>
      <w:r>
        <w:t>Navigation and Perception Sensor Modules</w:t>
      </w:r>
    </w:p>
    <w:p>
      <w:r>
        <w:rPr>
          <w:rFonts w:ascii="Times New Roman" w:hAnsi="Times New Roman"/>
          <w:sz w:val="22"/>
        </w:rPr>
        <w:t>The Suraya Riptide integrates dedicated navigation sensors and multimodal perception sensors within a common hardware architecture. Navigation sensors provide the vessel's absolute position, heading, and inertial state; perception sensors furnish the raw data from which environmental awareness is constructed.</w:t>
      </w:r>
    </w:p>
    <w:p>
      <w:r>
        <w:rPr>
          <w:rFonts w:ascii="Times New Roman" w:hAnsi="Times New Roman"/>
          <w:b/>
          <w:sz w:val="22"/>
        </w:rPr>
        <w:t>Navigation sensors.</w:t>
      </w:r>
      <w:r>
        <w:rPr>
          <w:rFonts w:ascii="Times New Roman" w:hAnsi="Times New Roman"/>
          <w:sz w:val="22"/>
        </w:rPr>
        <w:t xml:space="preserve"> An RTK-GNSS receiver provides centimetre-level positional accuracy under correction signal, supplying the global reference frame necessary for georeferencing detected obstacles. A MEMS-based Inertial Measurement Unit (IMU) contributes roll, pitch, and yaw estimates at high update rates — essential for motion compensation in wave-affected environments. An electronic compass supplies absolute heading referenced to magnetic north.</w:t>
      </w:r>
    </w:p>
    <w:p>
      <w:r>
        <w:rPr>
          <w:rFonts w:ascii="Times New Roman" w:hAnsi="Times New Roman"/>
          <w:b/>
          <w:sz w:val="22"/>
        </w:rPr>
        <w:t>Perception sensors.</w:t>
      </w:r>
      <w:r>
        <w:rPr>
          <w:rFonts w:ascii="Times New Roman" w:hAnsi="Times New Roman"/>
          <w:sz w:val="22"/>
        </w:rPr>
        <w:t xml:space="preserve"> The primary perception modalities are a three-dimensional LiDAR and a stereo camera. The LiDAR generates a 360° or forward-hemisphere point cloud at high frame rates, providing precise radial range measurements independent of ambient lighting conditions. The stereo camera furnishes synchronised RGB image pairs from which dense disparity maps — and ultimately depth estimates — are computed via deep-learning-based stereo matching. Together, these two modalities provide complementary spatial and semantic information that M-ACF Net exploits through mid-level fusion.</w:t>
      </w:r>
    </w:p>
    <w:p>
      <w:pPr>
        <w:spacing w:before="240" w:after="60"/>
      </w:pPr>
      <w:r>
        <w:rPr>
          <w:rFonts w:ascii="Times New Roman" w:hAnsi="Times New Roman"/>
          <w:b/>
          <w:sz w:val="20"/>
        </w:rPr>
        <w:t>Table 5.1. Sensor suite of the Suraya Riptide USV.</w:t>
      </w:r>
    </w:p>
    <w:tbl>
      <w:tblPr>
        <w:tblStyle w:val="TableGrid"/>
        <w:tblW w:type="auto" w:w="0"/>
        <w:tblLook w:firstColumn="1" w:firstRow="1" w:lastColumn="0" w:lastRow="0" w:noHBand="0" w:noVBand="1" w:val="04A0"/>
      </w:tblPr>
      <w:tblGrid>
        <w:gridCol w:w="1440"/>
        <w:gridCol w:w="1440"/>
        <w:gridCol w:w="1440"/>
        <w:gridCol w:w="1440"/>
      </w:tblGrid>
      <w:tr>
        <w:tc>
          <w:tcPr>
            <w:tcW w:type="dxa" w:w="1440"/>
            <w:shd w:val="clear" w:color="auto" w:fill="CCCCCC"/>
          </w:tcPr>
          <w:p>
            <w:r>
              <w:rPr>
                <w:rFonts w:ascii="Times New Roman" w:hAnsi="Times New Roman"/>
                <w:b/>
                <w:sz w:val="20"/>
              </w:rPr>
              <w:t>Sensor</w:t>
            </w:r>
          </w:p>
        </w:tc>
        <w:tc>
          <w:tcPr>
            <w:tcW w:type="dxa" w:w="1440"/>
            <w:shd w:val="clear" w:color="auto" w:fill="CCCCCC"/>
          </w:tcPr>
          <w:p>
            <w:r>
              <w:rPr>
                <w:rFonts w:ascii="Times New Roman" w:hAnsi="Times New Roman"/>
                <w:b/>
                <w:sz w:val="20"/>
              </w:rPr>
              <w:t>Type</w:t>
            </w:r>
          </w:p>
        </w:tc>
        <w:tc>
          <w:tcPr>
            <w:tcW w:type="dxa" w:w="1440"/>
            <w:shd w:val="clear" w:color="auto" w:fill="CCCCCC"/>
          </w:tcPr>
          <w:p>
            <w:r>
              <w:rPr>
                <w:rFonts w:ascii="Times New Roman" w:hAnsi="Times New Roman"/>
                <w:b/>
                <w:sz w:val="20"/>
              </w:rPr>
              <w:t>Key Specification</w:t>
            </w:r>
          </w:p>
        </w:tc>
        <w:tc>
          <w:tcPr>
            <w:tcW w:type="dxa" w:w="1440"/>
            <w:shd w:val="clear" w:color="auto" w:fill="CCCCCC"/>
          </w:tcPr>
          <w:p>
            <w:r>
              <w:rPr>
                <w:rFonts w:ascii="Times New Roman" w:hAnsi="Times New Roman"/>
                <w:b/>
                <w:sz w:val="20"/>
              </w:rPr>
              <w:t>Role</w:t>
            </w:r>
          </w:p>
        </w:tc>
      </w:tr>
      <w:tr>
        <w:tc>
          <w:tcPr>
            <w:tcW w:type="dxa" w:w="1440"/>
          </w:tcPr>
          <w:p>
            <w:r>
              <w:rPr>
                <w:rFonts w:ascii="Times New Roman" w:hAnsi="Times New Roman"/>
                <w:sz w:val="20"/>
              </w:rPr>
              <w:t>LiDAR</w:t>
            </w:r>
          </w:p>
        </w:tc>
        <w:tc>
          <w:tcPr>
            <w:tcW w:type="dxa" w:w="1440"/>
          </w:tcPr>
          <w:p>
            <w:r>
              <w:rPr>
                <w:rFonts w:ascii="Times New Roman" w:hAnsi="Times New Roman"/>
                <w:sz w:val="20"/>
              </w:rPr>
              <w:t>3D rotating LiDAR</w:t>
            </w:r>
          </w:p>
        </w:tc>
        <w:tc>
          <w:tcPr>
            <w:tcW w:type="dxa" w:w="1440"/>
          </w:tcPr>
          <w:p>
            <w:r>
              <w:rPr>
                <w:rFonts w:ascii="Times New Roman" w:hAnsi="Times New Roman"/>
                <w:sz w:val="20"/>
              </w:rPr>
              <w:t>360° FoV, multi-channel, long-range</w:t>
            </w:r>
          </w:p>
        </w:tc>
        <w:tc>
          <w:tcPr>
            <w:tcW w:type="dxa" w:w="1440"/>
          </w:tcPr>
          <w:p>
            <w:r>
              <w:rPr>
                <w:rFonts w:ascii="Times New Roman" w:hAnsi="Times New Roman"/>
                <w:sz w:val="20"/>
              </w:rPr>
              <w:t>Spatial ranging, point cloud</w:t>
            </w:r>
          </w:p>
        </w:tc>
      </w:tr>
      <w:tr>
        <w:tc>
          <w:tcPr>
            <w:tcW w:type="dxa" w:w="1440"/>
          </w:tcPr>
          <w:p>
            <w:r>
              <w:rPr>
                <w:rFonts w:ascii="Times New Roman" w:hAnsi="Times New Roman"/>
                <w:sz w:val="20"/>
              </w:rPr>
              <w:t>Stereo Camera</w:t>
            </w:r>
          </w:p>
        </w:tc>
        <w:tc>
          <w:tcPr>
            <w:tcW w:type="dxa" w:w="1440"/>
          </w:tcPr>
          <w:p>
            <w:r>
              <w:rPr>
                <w:rFonts w:ascii="Times New Roman" w:hAnsi="Times New Roman"/>
                <w:sz w:val="20"/>
              </w:rPr>
              <w:t>RGB stereo pair</w:t>
            </w:r>
          </w:p>
        </w:tc>
        <w:tc>
          <w:tcPr>
            <w:tcW w:type="dxa" w:w="1440"/>
          </w:tcPr>
          <w:p>
            <w:r>
              <w:rPr>
                <w:rFonts w:ascii="Times New Roman" w:hAnsi="Times New Roman"/>
                <w:sz w:val="20"/>
              </w:rPr>
              <w:t>High-resolution, wide FoV, 30 FPS</w:t>
            </w:r>
          </w:p>
        </w:tc>
        <w:tc>
          <w:tcPr>
            <w:tcW w:type="dxa" w:w="1440"/>
          </w:tcPr>
          <w:p>
            <w:r>
              <w:rPr>
                <w:rFonts w:ascii="Times New Roman" w:hAnsi="Times New Roman"/>
                <w:sz w:val="20"/>
              </w:rPr>
              <w:t>Visual detection, disparity</w:t>
            </w:r>
          </w:p>
        </w:tc>
      </w:tr>
      <w:tr>
        <w:tc>
          <w:tcPr>
            <w:tcW w:type="dxa" w:w="1440"/>
          </w:tcPr>
          <w:p>
            <w:r>
              <w:rPr>
                <w:rFonts w:ascii="Times New Roman" w:hAnsi="Times New Roman"/>
                <w:sz w:val="20"/>
              </w:rPr>
              <w:t>RTK-GNSS</w:t>
            </w:r>
          </w:p>
        </w:tc>
        <w:tc>
          <w:tcPr>
            <w:tcW w:type="dxa" w:w="1440"/>
          </w:tcPr>
          <w:p>
            <w:r>
              <w:rPr>
                <w:rFonts w:ascii="Times New Roman" w:hAnsi="Times New Roman"/>
                <w:sz w:val="20"/>
              </w:rPr>
              <w:t>GNSS receiver</w:t>
            </w:r>
          </w:p>
        </w:tc>
        <w:tc>
          <w:tcPr>
            <w:tcW w:type="dxa" w:w="1440"/>
          </w:tcPr>
          <w:p>
            <w:r>
              <w:rPr>
                <w:rFonts w:ascii="Times New Roman" w:hAnsi="Times New Roman"/>
                <w:sz w:val="20"/>
              </w:rPr>
              <w:t>Centimetre-level accuracy</w:t>
            </w:r>
          </w:p>
        </w:tc>
        <w:tc>
          <w:tcPr>
            <w:tcW w:type="dxa" w:w="1440"/>
          </w:tcPr>
          <w:p>
            <w:r>
              <w:rPr>
                <w:rFonts w:ascii="Times New Roman" w:hAnsi="Times New Roman"/>
                <w:sz w:val="20"/>
              </w:rPr>
              <w:t>Absolute positioning</w:t>
            </w:r>
          </w:p>
        </w:tc>
      </w:tr>
      <w:tr>
        <w:tc>
          <w:tcPr>
            <w:tcW w:type="dxa" w:w="1440"/>
          </w:tcPr>
          <w:p>
            <w:r>
              <w:rPr>
                <w:rFonts w:ascii="Times New Roman" w:hAnsi="Times New Roman"/>
                <w:sz w:val="20"/>
              </w:rPr>
              <w:t>IMU</w:t>
            </w:r>
          </w:p>
        </w:tc>
        <w:tc>
          <w:tcPr>
            <w:tcW w:type="dxa" w:w="1440"/>
          </w:tcPr>
          <w:p>
            <w:r>
              <w:rPr>
                <w:rFonts w:ascii="Times New Roman" w:hAnsi="Times New Roman"/>
                <w:sz w:val="20"/>
              </w:rPr>
              <w:t>MEMS inertial unit</w:t>
            </w:r>
          </w:p>
        </w:tc>
        <w:tc>
          <w:tcPr>
            <w:tcW w:type="dxa" w:w="1440"/>
          </w:tcPr>
          <w:p>
            <w:r>
              <w:rPr>
                <w:rFonts w:ascii="Times New Roman" w:hAnsi="Times New Roman"/>
                <w:sz w:val="20"/>
              </w:rPr>
              <w:t>High-rate roll/pitch/yaw</w:t>
            </w:r>
          </w:p>
        </w:tc>
        <w:tc>
          <w:tcPr>
            <w:tcW w:type="dxa" w:w="1440"/>
          </w:tcPr>
          <w:p>
            <w:r>
              <w:rPr>
                <w:rFonts w:ascii="Times New Roman" w:hAnsi="Times New Roman"/>
                <w:sz w:val="20"/>
              </w:rPr>
              <w:t>Motion compensation</w:t>
            </w:r>
          </w:p>
        </w:tc>
      </w:tr>
      <w:tr>
        <w:tc>
          <w:tcPr>
            <w:tcW w:type="dxa" w:w="1440"/>
          </w:tcPr>
          <w:p>
            <w:r>
              <w:rPr>
                <w:rFonts w:ascii="Times New Roman" w:hAnsi="Times New Roman"/>
                <w:sz w:val="20"/>
              </w:rPr>
              <w:t>Compass</w:t>
            </w:r>
          </w:p>
        </w:tc>
        <w:tc>
          <w:tcPr>
            <w:tcW w:type="dxa" w:w="1440"/>
          </w:tcPr>
          <w:p>
            <w:r>
              <w:rPr>
                <w:rFonts w:ascii="Times New Roman" w:hAnsi="Times New Roman"/>
                <w:sz w:val="20"/>
              </w:rPr>
              <w:t>Electronic compass</w:t>
            </w:r>
          </w:p>
        </w:tc>
        <w:tc>
          <w:tcPr>
            <w:tcW w:type="dxa" w:w="1440"/>
          </w:tcPr>
          <w:p>
            <w:r>
              <w:rPr>
                <w:rFonts w:ascii="Times New Roman" w:hAnsi="Times New Roman"/>
                <w:sz w:val="20"/>
              </w:rPr>
              <w:t>Absolute heading, NMEA output</w:t>
            </w:r>
          </w:p>
        </w:tc>
        <w:tc>
          <w:tcPr>
            <w:tcW w:type="dxa" w:w="1440"/>
          </w:tcPr>
          <w:p>
            <w:r>
              <w:rPr>
                <w:rFonts w:ascii="Times New Roman" w:hAnsi="Times New Roman"/>
                <w:sz w:val="20"/>
              </w:rPr>
              <w:t>Heading reference</w:t>
            </w:r>
          </w:p>
        </w:tc>
      </w:tr>
    </w:tbl>
    <w:p>
      <w:pPr>
        <w:spacing w:after="120"/>
      </w:pPr>
    </w:p>
    <w:p>
      <w:pPr>
        <w:pStyle w:val="Heading3"/>
      </w:pPr>
      <w:r>
        <w:t>Sensor Placement, Calibration, and Synchronisation</w:t>
      </w:r>
    </w:p>
    <w:p>
      <w:r>
        <w:rPr>
          <w:rFonts w:ascii="Times New Roman" w:hAnsi="Times New Roman"/>
          <w:sz w:val="22"/>
        </w:rPr>
        <w:t>Sensor placement on the Riptide was designed to maximise forward-hemisphere overlap between the LiDAR and stereo camera while minimising mutual occlusion and vibration-induced misalignment. The stereo camera was positioned at a forward-facing elevated mount above the vessel's bow, providing an unobstructed view of the forward operational zone. The LiDAR was mounted centrally on the deck at a height sufficient to avoid self-occlusion by the hull while maintaining a useful elevation angle for detecting near-surface obstacles.</w:t>
      </w:r>
    </w:p>
    <w:p>
      <w:r>
        <w:rPr>
          <w:rFonts w:ascii="Times New Roman" w:hAnsi="Times New Roman"/>
          <w:b/>
          <w:sz w:val="22"/>
        </w:rPr>
        <w:t>Intrinsic calibration</w:t>
      </w:r>
      <w:r>
        <w:rPr>
          <w:rFonts w:ascii="Times New Roman" w:hAnsi="Times New Roman"/>
          <w:sz w:val="22"/>
        </w:rPr>
        <w:t xml:space="preserve"> of the stereo camera was performed using a standard checkerboard procedure to determine the focal length, principal point, and lens distortion coefficients of each camera independently. </w:t>
      </w:r>
      <w:r>
        <w:rPr>
          <w:rFonts w:ascii="Times New Roman" w:hAnsi="Times New Roman"/>
          <w:b/>
          <w:sz w:val="22"/>
        </w:rPr>
        <w:t>Extrinsic calibration</w:t>
      </w:r>
      <w:r>
        <w:rPr>
          <w:rFonts w:ascii="Times New Roman" w:hAnsi="Times New Roman"/>
          <w:sz w:val="22"/>
        </w:rPr>
        <w:t xml:space="preserve"> established the rigid-body transformation (rotation matrix </w:t>
      </w:r>
      <w:r>
        <w:rPr>
          <w:rFonts w:ascii="Times New Roman" w:hAnsi="Times New Roman"/>
          <w:b/>
          <w:sz w:val="22"/>
        </w:rPr>
        <w:t>R</w:t>
      </w:r>
      <w:r>
        <w:rPr>
          <w:rFonts w:ascii="Times New Roman" w:hAnsi="Times New Roman"/>
          <w:sz w:val="22"/>
        </w:rPr>
        <w:t xml:space="preserve"> and translation vector </w:t>
      </w:r>
      <w:r>
        <w:rPr>
          <w:rFonts w:ascii="Times New Roman" w:hAnsi="Times New Roman"/>
          <w:b/>
          <w:sz w:val="22"/>
        </w:rPr>
        <w:t>t</w:t>
      </w:r>
      <w:r>
        <w:rPr>
          <w:rFonts w:ascii="Times New Roman" w:hAnsi="Times New Roman"/>
          <w:sz w:val="22"/>
        </w:rPr>
        <w:t>) between the LiDAR coordinate frame and the stereo camera coordinate frame. Temporal synchronisation between the LiDAR and camera data streams was achieved via hardware trigger signals, ensuring that point cloud and image frames used in the fusion pipeline were temporally co-registered to within the sensor measurement period.</w:t>
      </w:r>
    </w:p>
    <w:tbl>
      <w:tblPr>
        <w:tblStyle w:val="TableGrid"/>
        <w:tblW w:type="auto" w:w="0"/>
        <w:tblLook w:firstColumn="1" w:firstRow="1" w:lastColumn="0" w:lastRow="0" w:noHBand="0" w:noVBand="1" w:val="04A0"/>
      </w:tblPr>
      <w:tblGrid>
        <w:gridCol w:w="5760"/>
      </w:tblGrid>
      <w:tr>
        <w:tc>
          <w:tcPr>
            <w:tcW w:type="dxa" w:w="5760"/>
            <w:shd w:val="clear" w:color="auto" w:fill="EBEBEB"/>
          </w:tcPr>
          <w:p>
            <w:pPr>
              <w:jc w:val="center"/>
            </w:pPr>
            <w:r>
              <w:rPr>
                <w:b/>
                <w:color w:val="505050"/>
                <w:sz w:val="20"/>
              </w:rPr>
              <w:t>[ FIGURE 5.2 ]</w:t>
            </w:r>
          </w:p>
          <w:p>
            <w:pPr>
              <w:jc w:val="center"/>
            </w:pPr>
            <w:r>
              <w:rPr>
                <w:i/>
                <w:color w:val="6E6E6E"/>
                <w:sz w:val="18"/>
              </w:rPr>
              <w:t>Schematic showing sensor coordinate frames and extrinsic calibration geometry (LiDAR frame, camera frame, vessel body frame). Adapt from thesis calibration diagrams. Source: Authors.</w:t>
            </w:r>
          </w:p>
        </w:tc>
      </w:tr>
    </w:tbl>
    <w:p>
      <w:pPr>
        <w:spacing w:before="60" w:after="240"/>
        <w:jc w:val="center"/>
      </w:pPr>
      <w:r>
        <w:rPr>
          <w:rFonts w:ascii="Times New Roman" w:hAnsi="Times New Roman"/>
          <w:i/>
          <w:sz w:val="20"/>
        </w:rPr>
        <w:t>Figure 5.2. Sensor coordinate frame definitions and extrinsic calibration geometry for the Suraya Riptide multimodal sensor suite.</w:t>
      </w:r>
    </w:p>
    <w:p>
      <w:pPr>
        <w:pStyle w:val="Heading2"/>
      </w:pPr>
      <w:r>
        <w:t>5.3  The M-ACF Net Framework: Architecture and Design Rationale</w:t>
      </w:r>
    </w:p>
    <w:p>
      <w:pPr>
        <w:pStyle w:val="Heading3"/>
      </w:pPr>
      <w:r>
        <w:t>Mid-Level Fusion: Design Philosophy and Paradigm Selection</w:t>
      </w:r>
    </w:p>
    <w:p>
      <w:r>
        <w:rPr>
          <w:rFonts w:ascii="Times New Roman" w:hAnsi="Times New Roman"/>
          <w:sz w:val="22"/>
        </w:rPr>
        <w:t>The M-ACF Net framework is motivated by the observation that mid-level fusion — the integration of sensor signals at the feature representation stage, prior to final detection decisions — offers a richer information exchange than decision-level approaches that combine only final object hypotheses. At the mid-level, geometric features derived from LiDAR point clouds and semantic depth features derived from stereo images can be aligned in a shared spatial representation, allowing the model to exploit correlations that are invisible to either sensor operating alone.</w:t>
      </w:r>
    </w:p>
    <w:p>
      <w:r>
        <w:rPr>
          <w:rFonts w:ascii="Times New Roman" w:hAnsi="Times New Roman"/>
          <w:sz w:val="22"/>
        </w:rPr>
        <w:t xml:space="preserve">A central design challenge for mid-level fusion is managing the confidence mismatch between sensor modalities: LiDAR provides superior absolute range accuracy but suffers from sparsity on small or low-reflectance targets, whilst stereo cameras deliver dense visual coverage but produce unreliable depth estimates under specular reflections or textureless surfaces. M-ACF Net addresses this through a </w:t>
      </w:r>
      <w:r>
        <w:rPr>
          <w:rFonts w:ascii="Times New Roman" w:hAnsi="Times New Roman"/>
          <w:b/>
          <w:sz w:val="22"/>
        </w:rPr>
        <w:t>dynamic confidence-weighted fusion mechanism</w:t>
      </w:r>
      <w:r>
        <w:rPr>
          <w:rFonts w:ascii="Times New Roman" w:hAnsi="Times New Roman"/>
          <w:sz w:val="22"/>
        </w:rPr>
        <w:t xml:space="preserve"> that adjusts the relative contribution of each sensor's features on a per-frame basis, guided by per-modality reliability estimates computed from the raw data quality.</w:t>
      </w:r>
    </w:p>
    <w:tbl>
      <w:tblPr>
        <w:tblStyle w:val="TableGrid"/>
        <w:tblW w:type="auto" w:w="0"/>
        <w:tblLook w:firstColumn="1" w:firstRow="1" w:lastColumn="0" w:lastRow="0" w:noHBand="0" w:noVBand="1" w:val="04A0"/>
      </w:tblPr>
      <w:tblGrid>
        <w:gridCol w:w="5760"/>
      </w:tblGrid>
      <w:tr>
        <w:tc>
          <w:tcPr>
            <w:tcW w:type="dxa" w:w="5760"/>
            <w:shd w:val="clear" w:color="auto" w:fill="EBEBEB"/>
          </w:tcPr>
          <w:p>
            <w:pPr>
              <w:jc w:val="center"/>
            </w:pPr>
            <w:r>
              <w:rPr>
                <w:b/>
                <w:color w:val="505050"/>
                <w:sz w:val="20"/>
              </w:rPr>
              <w:t>[ FIGURE 5.3 ]</w:t>
            </w:r>
          </w:p>
          <w:p>
            <w:pPr>
              <w:jc w:val="center"/>
            </w:pPr>
            <w:r>
              <w:rPr>
                <w:i/>
                <w:color w:val="6E6E6E"/>
                <w:sz w:val="18"/>
              </w:rPr>
              <w:t>Block diagram of the complete M-ACF Net pipeline from sensor input to GNC output. Adapt from thesis architecture diagrams. Source: Authors.</w:t>
            </w:r>
          </w:p>
        </w:tc>
      </w:tr>
    </w:tbl>
    <w:p>
      <w:pPr>
        <w:spacing w:before="60" w:after="240"/>
        <w:jc w:val="center"/>
      </w:pPr>
      <w:r>
        <w:rPr>
          <w:rFonts w:ascii="Times New Roman" w:hAnsi="Times New Roman"/>
          <w:i/>
          <w:sz w:val="20"/>
        </w:rPr>
        <w:t>Figure 5.3. Overall M-ACF Net architecture: sensor acquisition → feature extraction (LiDAR and stereo branches) → confidence-weighted mid-level fusion → PCA–K-Means clustering → GNC integration.</w:t>
      </w:r>
    </w:p>
    <w:p>
      <w:pPr>
        <w:pStyle w:val="Heading3"/>
      </w:pPr>
      <w:r>
        <w:t>Architectural Overview and Egocentric Processing</w:t>
      </w:r>
    </w:p>
    <w:p>
      <w:r>
        <w:rPr>
          <w:rFonts w:ascii="Times New Roman" w:hAnsi="Times New Roman"/>
          <w:sz w:val="22"/>
        </w:rPr>
        <w:t xml:space="preserve">The M-ACF Net pipeline operates in an </w:t>
      </w:r>
      <w:r>
        <w:rPr>
          <w:rFonts w:ascii="Times New Roman" w:hAnsi="Times New Roman"/>
          <w:b/>
          <w:sz w:val="22"/>
        </w:rPr>
        <w:t>egocentric reference frame</w:t>
      </w:r>
      <w:r>
        <w:rPr>
          <w:rFonts w:ascii="Times New Roman" w:hAnsi="Times New Roman"/>
          <w:sz w:val="22"/>
        </w:rPr>
        <w:t xml:space="preserve"> centred on the USV, in which all sensor measurements and fused obstacle representations are expressed relative to the vessel's current position and heading. This choice simplifies coordinate management in the downstream GNC system and ensures that obstacle proximity and bearing are always expressed in the vessel-centric terms most relevant to collision avoidance decision-making.</w:t>
      </w:r>
    </w:p>
    <w:p>
      <w:r>
        <w:rPr>
          <w:rFonts w:ascii="Times New Roman" w:hAnsi="Times New Roman"/>
          <w:sz w:val="22"/>
        </w:rPr>
        <w:t xml:space="preserve">The pipeline comprises five sequential stages: (1) </w:t>
      </w:r>
      <w:r>
        <w:rPr>
          <w:rFonts w:ascii="Times New Roman" w:hAnsi="Times New Roman"/>
          <w:b/>
          <w:sz w:val="22"/>
        </w:rPr>
        <w:t>sensor preprocessing</w:t>
      </w:r>
      <w:r>
        <w:rPr>
          <w:rFonts w:ascii="Times New Roman" w:hAnsi="Times New Roman"/>
          <w:sz w:val="22"/>
        </w:rPr>
        <w:t xml:space="preserve"> — raw LiDAR and stereo data are independently filtered, downsampled, and calibrated; (2) </w:t>
      </w:r>
      <w:r>
        <w:rPr>
          <w:rFonts w:ascii="Times New Roman" w:hAnsi="Times New Roman"/>
          <w:b/>
          <w:sz w:val="22"/>
        </w:rPr>
        <w:t>feature extraction</w:t>
      </w:r>
      <w:r>
        <w:rPr>
          <w:rFonts w:ascii="Times New Roman" w:hAnsi="Times New Roman"/>
          <w:sz w:val="22"/>
        </w:rPr>
        <w:t xml:space="preserve"> — LiDAR geometric features and stereo-derived visual depth features are computed in parallel processing threads; (3) </w:t>
      </w:r>
      <w:r>
        <w:rPr>
          <w:rFonts w:ascii="Times New Roman" w:hAnsi="Times New Roman"/>
          <w:b/>
          <w:sz w:val="22"/>
        </w:rPr>
        <w:t>mid-level confidence-weighted fusion</w:t>
      </w:r>
      <w:r>
        <w:rPr>
          <w:rFonts w:ascii="Times New Roman" w:hAnsi="Times New Roman"/>
          <w:sz w:val="22"/>
        </w:rPr>
        <w:t xml:space="preserve"> — features from both branches are combined using dynamically computed per-modality confidence weights; (4) </w:t>
      </w:r>
      <w:r>
        <w:rPr>
          <w:rFonts w:ascii="Times New Roman" w:hAnsi="Times New Roman"/>
          <w:b/>
          <w:sz w:val="22"/>
        </w:rPr>
        <w:t>PCA–K-Means clustering</w:t>
      </w:r>
      <w:r>
        <w:rPr>
          <w:rFonts w:ascii="Times New Roman" w:hAnsi="Times New Roman"/>
          <w:sz w:val="22"/>
        </w:rPr>
        <w:t xml:space="preserve"> — fused features are grouped into spatially coherent obstacle candidates, each assigned a 3D bounding representation; and (5) </w:t>
      </w:r>
      <w:r>
        <w:rPr>
          <w:rFonts w:ascii="Times New Roman" w:hAnsi="Times New Roman"/>
          <w:b/>
          <w:sz w:val="22"/>
        </w:rPr>
        <w:t>GNC transmission</w:t>
      </w:r>
      <w:r>
        <w:rPr>
          <w:rFonts w:ascii="Times New Roman" w:hAnsi="Times New Roman"/>
          <w:sz w:val="22"/>
        </w:rPr>
        <w:t xml:space="preserve"> — obstacle state estimates are forwarded to the navigation controller via a structured communication interface.</w:t>
      </w:r>
    </w:p>
    <w:p>
      <w:pPr>
        <w:pStyle w:val="Heading3"/>
      </w:pPr>
      <w:r>
        <w:t>Sensor Coordinate Alignment and Preprocessing</w:t>
      </w:r>
    </w:p>
    <w:p>
      <w:r>
        <w:rPr>
          <w:rFonts w:ascii="Times New Roman" w:hAnsi="Times New Roman"/>
          <w:sz w:val="22"/>
        </w:rPr>
        <w:t xml:space="preserve">Before feature extraction can commence, LiDAR point clouds must be projected into the camera coordinate frame to establish spatial correspondence between the two sensor modalities. Given the extrinsically calibrated rotation matrix </w:t>
      </w:r>
      <w:r>
        <w:rPr>
          <w:rFonts w:ascii="Times New Roman" w:hAnsi="Times New Roman"/>
          <w:b/>
          <w:sz w:val="22"/>
        </w:rPr>
        <w:t>R</w:t>
      </w:r>
      <w:r>
        <w:rPr>
          <w:rFonts w:ascii="Times New Roman" w:hAnsi="Times New Roman"/>
          <w:sz w:val="22"/>
        </w:rPr>
        <w:t xml:space="preserve"> and translation vector </w:t>
      </w:r>
      <w:r>
        <w:rPr>
          <w:rFonts w:ascii="Times New Roman" w:hAnsi="Times New Roman"/>
          <w:b/>
          <w:sz w:val="22"/>
        </w:rPr>
        <w:t>t</w:t>
      </w:r>
      <w:r>
        <w:rPr>
          <w:rFonts w:ascii="Times New Roman" w:hAnsi="Times New Roman"/>
          <w:sz w:val="22"/>
        </w:rPr>
        <w:t xml:space="preserve">, each LiDAR point </w:t>
      </w:r>
      <w:r>
        <w:rPr>
          <w:rFonts w:ascii="Times New Roman" w:hAnsi="Times New Roman"/>
          <w:b/>
          <w:sz w:val="22"/>
        </w:rPr>
        <w:t>p</w:t>
      </w:r>
      <w:r>
        <w:rPr>
          <w:rFonts w:ascii="Times New Roman" w:hAnsi="Times New Roman"/>
          <w:sz w:val="22"/>
        </w:rPr>
        <w:t>_L = (x_L, y_L, z_L)^T is transformed to the camera frame as:</w:t>
      </w:r>
    </w:p>
    <w:p>
      <w:pPr>
        <w:spacing w:before="120" w:after="120"/>
        <w:jc w:val="center"/>
      </w:pPr>
      <w:r>
        <w:rPr>
          <w:rFonts w:ascii="Times New Roman" w:hAnsi="Times New Roman"/>
          <w:i/>
          <w:sz w:val="22"/>
        </w:rPr>
        <w:t>p_C = R\,p_L + t</w:t>
      </w:r>
      <w:r>
        <w:t xml:space="preserve">   (5.1)</w:t>
      </w:r>
    </w:p>
    <w:p>
      <w:r>
        <w:rPr>
          <w:rFonts w:ascii="Times New Roman" w:hAnsi="Times New Roman"/>
          <w:sz w:val="22"/>
        </w:rPr>
        <w:t xml:space="preserve">The transformed point is subsequently projected onto the image plane using the camera intrinsic matrix </w:t>
      </w:r>
      <w:r>
        <w:rPr>
          <w:rFonts w:ascii="Times New Roman" w:hAnsi="Times New Roman"/>
          <w:b/>
          <w:sz w:val="22"/>
        </w:rPr>
        <w:t>K</w:t>
      </w:r>
      <w:r>
        <w:rPr>
          <w:rFonts w:ascii="Times New Roman" w:hAnsi="Times New Roman"/>
          <w:sz w:val="22"/>
        </w:rPr>
        <w:t>, yielding the 2D pixel coordinates at which the LiDAR point appears in the camera image. This projection enables spatial correspondence between LiDAR range measurements and stereo image features, which is the foundation of mid-level fusion.</w:t>
      </w:r>
    </w:p>
    <w:p>
      <w:pPr>
        <w:spacing w:before="120" w:after="120"/>
        <w:jc w:val="center"/>
      </w:pPr>
      <w:r>
        <w:rPr>
          <w:rFonts w:ascii="Times New Roman" w:hAnsi="Times New Roman"/>
          <w:i/>
          <w:sz w:val="22"/>
        </w:rPr>
        <w:t>( u ; v ; 1 ) = (1)/(Z_C)\,K\,p_C</w:t>
      </w:r>
      <w:r>
        <w:t xml:space="preserve">   (5.2)</w:t>
      </w:r>
    </w:p>
    <w:p>
      <w:r>
        <w:rPr>
          <w:rFonts w:ascii="Times New Roman" w:hAnsi="Times New Roman"/>
          <w:sz w:val="22"/>
        </w:rPr>
        <w:t xml:space="preserve">where (u, v) are the projected pixel coordinates, Z_C is the depth of the LiDAR point in the camera frame, and </w:t>
      </w:r>
      <w:r>
        <w:rPr>
          <w:rFonts w:ascii="Times New Roman" w:hAnsi="Times New Roman"/>
          <w:b/>
          <w:sz w:val="22"/>
        </w:rPr>
        <w:t>K</w:t>
      </w:r>
      <w:r>
        <w:rPr>
          <w:rFonts w:ascii="Times New Roman" w:hAnsi="Times New Roman"/>
          <w:sz w:val="22"/>
        </w:rPr>
        <w:t xml:space="preserve"> is the 3 × 3 camera intrinsic matrix containing focal lengths and principal point offsets.</w:t>
      </w:r>
    </w:p>
    <w:p>
      <w:pPr>
        <w:pStyle w:val="Heading2"/>
      </w:pPr>
      <w:r>
        <w:t>5.4  Visual Feature Extraction and Pseudo-LiDAR Generation</w:t>
      </w:r>
    </w:p>
    <w:p>
      <w:pPr>
        <w:pStyle w:val="Heading3"/>
      </w:pPr>
      <w:r>
        <w:t>Object Detection Model Selection and Training</w:t>
      </w:r>
    </w:p>
    <w:p>
      <w:r>
        <w:rPr>
          <w:rFonts w:ascii="Times New Roman" w:hAnsi="Times New Roman"/>
          <w:sz w:val="22"/>
        </w:rPr>
        <w:t>YOLOv8 was selected as the visual object detection backbone for M-ACF Net following comparative evaluation against prior-generation architectures. The selection criteria prioritised: (i) inference throughput compatible with real-time USV operation; (ii) detection accuracy on maritime obstacle classes (vessels, buoys, persons, floating debris); and (iii) model size suitable for onboard edge hardware. YOLOv8's anchor-free detection head, improved neck architecture, and stronger augmentation pipeline collectively offer measurable accuracy gains over YOLOv5 at comparable inference cost.</w:t>
      </w:r>
    </w:p>
    <w:p>
      <w:r>
        <w:rPr>
          <w:rFonts w:ascii="Times New Roman" w:hAnsi="Times New Roman"/>
          <w:sz w:val="22"/>
        </w:rPr>
        <w:t>The model was fine-tuned on a curated maritime training corpus comprising images from the Singapore Maritime Dataset (SMD), the SeaShips dataset, and a custom multi-environment maritime dataset collected from real-world deployments aboard the Suraya Riptide. Training employed a 640 × 640 input resolution, 100 epochs, batch size 16, cosine learning rate schedule with initial learning rate 10^−3, and standard YOLOv8 augmentation (random flips, mosaic, colour jitter, and scale augmentation). Weights were initialised from COCO-pretrained checkpoints and fine-tuned on the maritime data to adapt the detector to the specific viewpoint geometry and object appearance of near-shore USV operation.</w:t>
      </w:r>
    </w:p>
    <w:p>
      <w:pPr>
        <w:pStyle w:val="Heading3"/>
      </w:pPr>
      <w:r>
        <w:t>Stereo Vision Depth Estimation and Occlusion Handling</w:t>
      </w:r>
    </w:p>
    <w:p>
      <w:r>
        <w:rPr>
          <w:rFonts w:ascii="Times New Roman" w:hAnsi="Times New Roman"/>
          <w:sz w:val="22"/>
        </w:rPr>
        <w:t>Dense depth estimation from stereo image pairs is performed using a deep-learning-based disparity network, which computes per-pixel disparity maps from which metric depth is recovered via the standard stereo triangulation relation:</w:t>
      </w:r>
    </w:p>
    <w:p>
      <w:pPr>
        <w:spacing w:before="120" w:after="120"/>
        <w:jc w:val="center"/>
      </w:pPr>
      <w:r>
        <w:rPr>
          <w:rFonts w:ascii="Times New Roman" w:hAnsi="Times New Roman"/>
          <w:i/>
          <w:sz w:val="22"/>
        </w:rPr>
        <w:t>Z = (f · B)/(d)</w:t>
      </w:r>
      <w:r>
        <w:t xml:space="preserve">   (5.3)</w:t>
      </w:r>
    </w:p>
    <w:p>
      <w:r>
        <w:rPr>
          <w:rFonts w:ascii="Times New Roman" w:hAnsi="Times New Roman"/>
          <w:sz w:val="22"/>
        </w:rPr>
        <w:t>where Z is the scene depth, f is the camera focal length in pixels, B is the stereo baseline (distance between left and right camera optical centres), and d is the computed disparity (horizontal pixel shift between corresponding points in the stereo image pair). The use of a learned disparity estimator — rather than classical block-matching approaches such as SGBM — yields dense, smoother disparity maps particularly in regions with low texture or repetitive patterns characteristic of open water and vessel surfaces.</w:t>
      </w:r>
    </w:p>
    <w:p>
      <w:r>
        <w:rPr>
          <w:rFonts w:ascii="Times New Roman" w:hAnsi="Times New Roman"/>
          <w:sz w:val="22"/>
        </w:rPr>
        <w:t xml:space="preserve">A persistent challenge in near-shore stereo depth estimation is </w:t>
      </w:r>
      <w:r>
        <w:rPr>
          <w:rFonts w:ascii="Times New Roman" w:hAnsi="Times New Roman"/>
          <w:b/>
          <w:sz w:val="22"/>
        </w:rPr>
        <w:t>stereo occlusion</w:t>
      </w:r>
      <w:r>
        <w:rPr>
          <w:rFonts w:ascii="Times New Roman" w:hAnsi="Times New Roman"/>
          <w:sz w:val="22"/>
        </w:rPr>
        <w:t>: regions visible in one camera but not the other due to parallax, particularly near object boundaries and at the water surface. M-ACF Net incorporates an occlusion handling module that identifies unreliable disparity estimates through left-right consistency checking and assigns reduced confidence weights to depth estimates in occluded regions. This prevents erroneous depth values from corrupting the downstream fusion and clustering stages.</w:t>
      </w:r>
    </w:p>
    <w:tbl>
      <w:tblPr>
        <w:tblStyle w:val="TableGrid"/>
        <w:tblW w:type="auto" w:w="0"/>
        <w:tblLook w:firstColumn="1" w:firstRow="1" w:lastColumn="0" w:lastRow="0" w:noHBand="0" w:noVBand="1" w:val="04A0"/>
      </w:tblPr>
      <w:tblGrid>
        <w:gridCol w:w="5760"/>
      </w:tblGrid>
      <w:tr>
        <w:tc>
          <w:tcPr>
            <w:tcW w:type="dxa" w:w="5760"/>
            <w:shd w:val="clear" w:color="auto" w:fill="EBEBEB"/>
          </w:tcPr>
          <w:p>
            <w:pPr>
              <w:jc w:val="center"/>
            </w:pPr>
            <w:r>
              <w:rPr>
                <w:b/>
                <w:color w:val="505050"/>
                <w:sz w:val="20"/>
              </w:rPr>
              <w:t>[ FIGURE 5.4 ]</w:t>
            </w:r>
          </w:p>
          <w:p>
            <w:pPr>
              <w:jc w:val="center"/>
            </w:pPr>
            <w:r>
              <w:rPr>
                <w:i/>
                <w:color w:val="6E6E6E"/>
                <w:sz w:val="18"/>
              </w:rPr>
              <w:t>Side-by-side comparison of stereo images (left/right pair), raw disparity map, and refined disparity after occlusion handling under different wave conditions. Source: Authors.</w:t>
            </w:r>
          </w:p>
        </w:tc>
      </w:tr>
    </w:tbl>
    <w:p>
      <w:pPr>
        <w:spacing w:before="60" w:after="240"/>
        <w:jc w:val="center"/>
      </w:pPr>
      <w:r>
        <w:rPr>
          <w:rFonts w:ascii="Times New Roman" w:hAnsi="Times New Roman"/>
          <w:i/>
          <w:sz w:val="20"/>
        </w:rPr>
        <w:t>Figure 5.4. Stereo disparity estimation output: (a) left RGB input; (b) raw disparity map; (c) refined disparity map after occlusion handling, illustrating improved reliability at water-surface boundaries.</w:t>
      </w:r>
    </w:p>
    <w:p>
      <w:pPr>
        <w:pStyle w:val="Heading3"/>
      </w:pPr>
      <w:r>
        <w:t>Pseudo-LiDAR Generation from Disparity Maps</w:t>
      </w:r>
    </w:p>
    <w:p>
      <w:r>
        <w:rPr>
          <w:rFonts w:ascii="Times New Roman" w:hAnsi="Times New Roman"/>
          <w:sz w:val="22"/>
        </w:rPr>
        <w:t>Pseudo-LiDAR transforms dense depth maps derived from stereo vision into a 3D point cloud representation geometrically equivalent to a direct LiDAR measurement, enabling downstream processing modules originally designed for LiDAR input to operate on stereo-derived depth data with minimal architectural modification. For each pixel (u, v) in the depth map, the corresponding 3D point in the camera coordinate frame is recovered as:</w:t>
      </w:r>
    </w:p>
    <w:p>
      <w:pPr>
        <w:spacing w:before="120" w:after="120"/>
        <w:jc w:val="center"/>
      </w:pPr>
      <w:r>
        <w:rPr>
          <w:rFonts w:ascii="Times New Roman" w:hAnsi="Times New Roman"/>
          <w:i/>
          <w:sz w:val="22"/>
        </w:rPr>
        <w:t>p_C = Z · K^-1 ( u ; v ; 1 )</w:t>
      </w:r>
      <w:r>
        <w:t xml:space="preserve">   (5.4)</w:t>
      </w:r>
    </w:p>
    <w:p>
      <w:r>
        <w:rPr>
          <w:rFonts w:ascii="Times New Roman" w:hAnsi="Times New Roman"/>
          <w:sz w:val="22"/>
        </w:rPr>
        <w:t>The resulting Pseudo-LiDAR cloud is filtered to the same spatial extent as the real LiDAR point cloud (field-of-view clipping, range gating) before being fed into the mid-level fusion stage alongside the real LiDAR geometric features. This design choice allows M-ACF Net to exploit the complementary spatial resolution of stereo depth — dense in the near field, increasingly sparse at range — against the more uniform spatial sampling of the physical LiDAR sensor.</w:t>
      </w:r>
    </w:p>
    <w:p>
      <w:pPr>
        <w:pStyle w:val="Heading2"/>
      </w:pPr>
      <w:r>
        <w:t>5.5  LiDAR Point Cloud Processing</w:t>
      </w:r>
    </w:p>
    <w:p>
      <w:r>
        <w:rPr>
          <w:rFonts w:ascii="Times New Roman" w:hAnsi="Times New Roman"/>
          <w:sz w:val="22"/>
        </w:rPr>
        <w:t>The LiDAR processing branch transforms raw 3D point clouds into a set of compact geometric features suitable for mid-level fusion. The pipeline proceeds through four sequential stages.</w:t>
      </w:r>
    </w:p>
    <w:p>
      <w:pPr>
        <w:pStyle w:val="Heading3"/>
      </w:pPr>
      <w:r>
        <w:t>Downsampling, Noise Removal, and FOV Filtering</w:t>
      </w:r>
    </w:p>
    <w:p>
      <w:r>
        <w:rPr>
          <w:rFonts w:ascii="Times New Roman" w:hAnsi="Times New Roman"/>
          <w:b/>
          <w:sz w:val="22"/>
        </w:rPr>
        <w:t>Voxel downsampling</w:t>
      </w:r>
      <w:r>
        <w:rPr>
          <w:rFonts w:ascii="Times New Roman" w:hAnsi="Times New Roman"/>
          <w:sz w:val="22"/>
        </w:rPr>
        <w:t xml:space="preserve"> replaces all points within each voxel cell of side length 0.1 m with a single centroid point, reducing cloud density while preserving geometric structure relevant to the obstacle scales encountered in maritime navigation (vessels: 1–10 m; buoys: 0.2–0.5 m; persons: 0.4–0.5 m width).</w:t>
      </w:r>
    </w:p>
    <w:p>
      <w:r>
        <w:rPr>
          <w:rFonts w:ascii="Times New Roman" w:hAnsi="Times New Roman"/>
          <w:b/>
          <w:sz w:val="22"/>
        </w:rPr>
        <w:t>Statistical outlier removal (SOR)</w:t>
      </w:r>
      <w:r>
        <w:rPr>
          <w:rFonts w:ascii="Times New Roman" w:hAnsi="Times New Roman"/>
          <w:sz w:val="22"/>
        </w:rPr>
        <w:t xml:space="preserve"> identifies and discards points whose mean distance to their k nearest neighbours deviates substantially from the global neighbourhood mean, eliminating isolated returns caused by sensor noise, water surface spray, and airborne particles. The SOR parameters (k = 50 neighbours, standard deviation multiplier σ = 1.0) were tuned empirically across multiple near-shore environments to achieve an effective balance between noise suppression and retention of sparse but meaningful obstacle returns.</w:t>
      </w:r>
    </w:p>
    <w:p>
      <w:r>
        <w:rPr>
          <w:rFonts w:ascii="Times New Roman" w:hAnsi="Times New Roman"/>
          <w:b/>
          <w:sz w:val="22"/>
        </w:rPr>
        <w:t>Field-of-view (FOV) filtering</w:t>
      </w:r>
      <w:r>
        <w:rPr>
          <w:rFonts w:ascii="Times New Roman" w:hAnsi="Times New Roman"/>
          <w:sz w:val="22"/>
        </w:rPr>
        <w:t xml:space="preserve"> restricts the processed cloud to the forward-facing hemisphere aligned with the stereo camera's angular coverage, ensuring geometric consistency between the LiDAR and stereo branches in the fusion stage. Points outside the FOV intersection are discarded, as they lack corresponding stereo depth measurements and would contribute uninformative features to the fusion module.</w:t>
      </w:r>
    </w:p>
    <w:p>
      <w:pPr>
        <w:pStyle w:val="Heading3"/>
      </w:pPr>
      <w:r>
        <w:t>Geometric Feature Extraction from Point Clouds</w:t>
      </w:r>
    </w:p>
    <w:p>
      <w:r>
        <w:rPr>
          <w:rFonts w:ascii="Times New Roman" w:hAnsi="Times New Roman"/>
          <w:sz w:val="22"/>
        </w:rPr>
        <w:t>Following preprocessing, geometric features are extracted from the filtered cloud to characterise local surface structure. For each point in the processed cloud, a neighbourhood of k nearest neighbours is identified, and local surface normal vectors and curvature estimates are computed via Principal Component Analysis (PCA) on the neighbourhood covariance matrix. These local geometric descriptors encode the orientation and smoothness of local surface patches — key discriminators between flat water surfaces (smooth, horizontal normals) and obstacle surfaces (varied orientations, higher curvature). The feature vector for each point thus comprises its 3D spatial coordinates augmented by its surface normal direction and principal curvature estimate, forming the LiDAR geometric feature representation passed to the fusion stage.</w:t>
      </w:r>
    </w:p>
    <w:p>
      <w:pPr>
        <w:pStyle w:val="Heading2"/>
      </w:pPr>
      <w:r>
        <w:t>5.6  Confidence-Weighted Mid-Level Feature Fusion</w:t>
      </w:r>
    </w:p>
    <w:p>
      <w:r>
        <w:rPr>
          <w:rFonts w:ascii="Times New Roman" w:hAnsi="Times New Roman"/>
          <w:sz w:val="22"/>
        </w:rPr>
        <w:t>The confidence-weighted mid-level fusion stage is the core contribution of M-ACF Net. Rather than fusing sensors at the decision level (combining final object detections) or at the earliest feature level (raw concatenation of sensor signals), M-ACF Net operates at an intermediate representation level where LiDAR geometric features and stereo-derived depth features have been independently computed and are now merged into a unified spatial-semantic feature volume.</w:t>
      </w:r>
    </w:p>
    <w:p>
      <w:pPr>
        <w:pStyle w:val="Heading3"/>
      </w:pPr>
      <w:r>
        <w:t>Fusion Strategy and Confidence Modelling</w:t>
      </w:r>
    </w:p>
    <w:p>
      <w:r>
        <w:rPr>
          <w:rFonts w:ascii="Times New Roman" w:hAnsi="Times New Roman"/>
          <w:sz w:val="22"/>
        </w:rPr>
        <w:t xml:space="preserve">For each spatial location in the shared fusion grid, M-ACF Net computes a per-modality </w:t>
      </w:r>
      <w:r>
        <w:rPr>
          <w:rFonts w:ascii="Times New Roman" w:hAnsi="Times New Roman"/>
          <w:b/>
          <w:sz w:val="22"/>
        </w:rPr>
        <w:t>confidence score</w:t>
      </w:r>
      <w:r>
        <w:rPr>
          <w:rFonts w:ascii="Times New Roman" w:hAnsi="Times New Roman"/>
          <w:sz w:val="22"/>
        </w:rPr>
        <w:t xml:space="preserve"> that quantifies the reliability of each sensor's contribution at that location in the current frame. The LiDAR confidence C_L at position </w:t>
      </w:r>
      <w:r>
        <w:rPr>
          <w:rFonts w:ascii="Times New Roman" w:hAnsi="Times New Roman"/>
          <w:b/>
          <w:sz w:val="22"/>
        </w:rPr>
        <w:t>p</w:t>
      </w:r>
      <w:r>
        <w:rPr>
          <w:rFonts w:ascii="Times New Roman" w:hAnsi="Times New Roman"/>
          <w:sz w:val="22"/>
        </w:rPr>
        <w:t xml:space="preserve"> is derived from local point cloud density: regions with high point density yield reliable geometric features (high C_L), whilst sparse regions — common for small targets or at long ranges — yield low C_L. The stereo confidence C_S at </w:t>
      </w:r>
      <w:r>
        <w:rPr>
          <w:rFonts w:ascii="Times New Roman" w:hAnsi="Times New Roman"/>
          <w:b/>
          <w:sz w:val="22"/>
        </w:rPr>
        <w:t>p</w:t>
      </w:r>
      <w:r>
        <w:rPr>
          <w:rFonts w:ascii="Times New Roman" w:hAnsi="Times New Roman"/>
          <w:sz w:val="22"/>
        </w:rPr>
        <w:t xml:space="preserve"> is derived from the disparity consistency score computed by the left-right consistency check: high consistency implies reliable depth (high C_S), whilst low consistency (as in occluded regions or specular water surfaces) implies low reliability.</w:t>
      </w:r>
    </w:p>
    <w:p>
      <w:pPr>
        <w:pStyle w:val="Heading3"/>
      </w:pPr>
      <w:r>
        <w:t>Dynamic Adaptive Weighting Mechanism</w:t>
      </w:r>
    </w:p>
    <w:p>
      <w:r>
        <w:rPr>
          <w:rFonts w:ascii="Times New Roman" w:hAnsi="Times New Roman"/>
          <w:sz w:val="22"/>
        </w:rPr>
        <w:t>The fused feature F_fused at each spatial location is computed as a confidence-weighted combination of the LiDAR feature F_L and the stereo-derived feature F_S:</w:t>
      </w:r>
    </w:p>
    <w:p>
      <w:pPr>
        <w:spacing w:before="120" w:after="120"/>
        <w:jc w:val="center"/>
      </w:pPr>
      <w:r>
        <w:rPr>
          <w:rFonts w:ascii="Times New Roman" w:hAnsi="Times New Roman"/>
          <w:i/>
          <w:sz w:val="22"/>
        </w:rPr>
        <w:t>F_fused = w_L · F_L + w_S · F_S</w:t>
      </w:r>
      <w:r>
        <w:t xml:space="preserve">   (5.5)</w:t>
      </w:r>
    </w:p>
    <w:p>
      <w:r>
        <w:rPr>
          <w:rFonts w:ascii="Times New Roman" w:hAnsi="Times New Roman"/>
          <w:sz w:val="22"/>
        </w:rPr>
        <w:t>where the normalised adaptive weights w_L and w_S are derived from the confidence scores:</w:t>
      </w:r>
    </w:p>
    <w:p>
      <w:pPr>
        <w:spacing w:before="120" w:after="120"/>
        <w:jc w:val="center"/>
      </w:pPr>
      <w:r>
        <w:rPr>
          <w:rFonts w:ascii="Times New Roman" w:hAnsi="Times New Roman"/>
          <w:i/>
          <w:sz w:val="22"/>
        </w:rPr>
        <w:t>w_L = (C_L)/(C_L + C_S), w_S = (C_S)/(C_L + C_S)</w:t>
      </w:r>
      <w:r>
        <w:t xml:space="preserve">   (5.6)</w:t>
      </w:r>
    </w:p>
    <w:p>
      <w:r>
        <w:rPr>
          <w:rFonts w:ascii="Times New Roman" w:hAnsi="Times New Roman"/>
          <w:sz w:val="22"/>
        </w:rPr>
        <w:t>This formulation ensures that (i) w_L + w_S = 1 at every spatial location, (ii) the sensor with higher confidence dominates the fused representation, and (iii) the mechanism degrades gracefully: if one sensor's confidence drops to zero (e.g., LiDAR point sparsity in a region), the fused representation falls back entirely on the other modality's features. This adaptive behaviour is the key advantage of M-ACF Net over fixed-weight or concatenation-based mid-level fusion approaches.</w:t>
      </w:r>
    </w:p>
    <w:tbl>
      <w:tblPr>
        <w:tblStyle w:val="TableGrid"/>
        <w:tblW w:type="auto" w:w="0"/>
        <w:tblLook w:firstColumn="1" w:firstRow="1" w:lastColumn="0" w:lastRow="0" w:noHBand="0" w:noVBand="1" w:val="04A0"/>
      </w:tblPr>
      <w:tblGrid>
        <w:gridCol w:w="5760"/>
      </w:tblGrid>
      <w:tr>
        <w:tc>
          <w:tcPr>
            <w:tcW w:type="dxa" w:w="5760"/>
            <w:shd w:val="clear" w:color="auto" w:fill="EBEBEB"/>
          </w:tcPr>
          <w:p>
            <w:pPr>
              <w:jc w:val="center"/>
            </w:pPr>
            <w:r>
              <w:rPr>
                <w:b/>
                <w:color w:val="505050"/>
                <w:sz w:val="20"/>
              </w:rPr>
              <w:t>[ FIGURE 5.5 ]</w:t>
            </w:r>
          </w:p>
          <w:p>
            <w:pPr>
              <w:jc w:val="center"/>
            </w:pPr>
            <w:r>
              <w:rPr>
                <w:i/>
                <w:color w:val="6E6E6E"/>
                <w:sz w:val="18"/>
              </w:rPr>
              <w:t>Visualisation of confidence weight maps: LiDAR confidence (C_L), stereo confidence (C_S), and resulting adaptive weights (w_L, w_S) for a representative near-shore frame. Source: Authors.</w:t>
            </w:r>
          </w:p>
        </w:tc>
      </w:tr>
    </w:tbl>
    <w:p>
      <w:pPr>
        <w:spacing w:before="60" w:after="240"/>
        <w:jc w:val="center"/>
      </w:pPr>
      <w:r>
        <w:rPr>
          <w:rFonts w:ascii="Times New Roman" w:hAnsi="Times New Roman"/>
          <w:i/>
          <w:sz w:val="20"/>
        </w:rPr>
        <w:t>Figure 5.5. Adaptive confidence weight maps for a representative frame: (a) LiDAR confidence C_L; (b) stereo confidence C_S; (c) resulting fused feature weighting, illustrating dynamic modality selection across the scene.</w:t>
      </w:r>
    </w:p>
    <w:p>
      <w:pPr>
        <w:pStyle w:val="Heading2"/>
      </w:pPr>
      <w:r>
        <w:t>5.7  Post-Processing: PCA–K-Means Obstacle Clustering</w:t>
      </w:r>
    </w:p>
    <w:p>
      <w:r>
        <w:rPr>
          <w:rFonts w:ascii="Times New Roman" w:hAnsi="Times New Roman"/>
          <w:sz w:val="22"/>
        </w:rPr>
        <w:t xml:space="preserve">Following mid-level fusion, the resulting 3D feature volume is processed by a </w:t>
      </w:r>
      <w:r>
        <w:rPr>
          <w:rFonts w:ascii="Times New Roman" w:hAnsi="Times New Roman"/>
          <w:b/>
          <w:sz w:val="22"/>
        </w:rPr>
        <w:t>Hybrid PCA–K-Means</w:t>
      </w:r>
      <w:r>
        <w:rPr>
          <w:rFonts w:ascii="Times New Roman" w:hAnsi="Times New Roman"/>
          <w:sz w:val="22"/>
        </w:rPr>
        <w:t xml:space="preserve"> clustering stage that segments the fused point representation into spatially coherent obstacle candidates. This stage replaces the Euclidean clustering commonly used in LiDAR-only pipelines with an orientation-aware approach better suited to the elongated geometries of maritime obstacles (vessels, jetties, pontoons), which are poorly segmented by spherically-symmetric distance metrics.</w:t>
      </w:r>
    </w:p>
    <w:p>
      <w:pPr>
        <w:pStyle w:val="Heading3"/>
      </w:pPr>
      <w:r>
        <w:t>Principal Component Analysis for Orientation Alignment</w:t>
      </w:r>
    </w:p>
    <w:p>
      <w:r>
        <w:rPr>
          <w:rFonts w:ascii="Times New Roman" w:hAnsi="Times New Roman"/>
          <w:sz w:val="22"/>
        </w:rPr>
        <w:t>Before clustering, the fused point cloud is partitioned into overlapping local regions, and PCA is applied to each region's covariance matrix:</w:t>
      </w:r>
    </w:p>
    <w:p>
      <w:pPr>
        <w:spacing w:before="120" w:after="120"/>
        <w:jc w:val="center"/>
      </w:pPr>
      <w:r>
        <w:rPr>
          <w:rFonts w:ascii="Times New Roman" w:hAnsi="Times New Roman"/>
          <w:i/>
          <w:sz w:val="22"/>
        </w:rPr>
        <w:t>C = (1)/(N)_i=1^N(p_i - p)(p_i - p)^T</w:t>
      </w:r>
      <w:r>
        <w:t xml:space="preserve">   (5.7)</w:t>
      </w:r>
    </w:p>
    <w:p>
      <w:r>
        <w:rPr>
          <w:rFonts w:ascii="Times New Roman" w:hAnsi="Times New Roman"/>
          <w:sz w:val="22"/>
        </w:rPr>
        <w:t xml:space="preserve">The eigenvectors of </w:t>
      </w:r>
      <w:r>
        <w:rPr>
          <w:rFonts w:ascii="Times New Roman" w:hAnsi="Times New Roman"/>
          <w:b/>
          <w:sz w:val="22"/>
        </w:rPr>
        <w:t>C</w:t>
      </w:r>
      <w:r>
        <w:rPr>
          <w:rFonts w:ascii="Times New Roman" w:hAnsi="Times New Roman"/>
          <w:sz w:val="22"/>
        </w:rPr>
        <w:t xml:space="preserve"> define the principal axes of the local point distribution — effectively the dominant orientation of the obstacle's surface geometry. The point cloud region is then rotated into the PCA-aligned coordinate frame, in which K-Means clustering operates along physically meaningful axes aligned with the obstacle's principal dimensions rather than arbitrary Cartesian directions.</w:t>
      </w:r>
    </w:p>
    <w:p>
      <w:pPr>
        <w:pStyle w:val="Heading3"/>
      </w:pPr>
      <w:r>
        <w:t>K-Means Clustering in Transformed Space</w:t>
      </w:r>
    </w:p>
    <w:p>
      <w:r>
        <w:rPr>
          <w:rFonts w:ascii="Times New Roman" w:hAnsi="Times New Roman"/>
          <w:sz w:val="22"/>
        </w:rPr>
        <w:t>K-Means clustering is applied in the PCA-transformed space to partition the aligned points into K obstacle clusters. The number of clusters K is determined adaptively per scene using the elbow method applied to the within-cluster sum-of-squares (WCSS) criterion, allowing the algorithm to separate densely packed but geometrically distinct obstacles without requiring a fixed cluster count to be specified in advance.</w:t>
      </w:r>
    </w:p>
    <w:p>
      <w:r>
        <w:rPr>
          <w:rFonts w:ascii="Times New Roman" w:hAnsi="Times New Roman"/>
          <w:sz w:val="22"/>
        </w:rPr>
        <w:t>Each resulting cluster is characterised by its centroid position, principal axis orientations (retained from the PCA stage), and the spatial extent of its member points. Clusters with fewer than a minimum point count threshold are discarded as noise. The remaining clusters constitute the obstacle candidates forwarded to the GNC system.</w:t>
      </w:r>
    </w:p>
    <w:p>
      <w:pPr>
        <w:pStyle w:val="Heading3"/>
      </w:pPr>
      <w:r>
        <w:t>Centroid and Extremity Estimation for Navigational Awareness</w:t>
      </w:r>
    </w:p>
    <w:p>
      <w:r>
        <w:rPr>
          <w:rFonts w:ascii="Times New Roman" w:hAnsi="Times New Roman"/>
          <w:sz w:val="22"/>
        </w:rPr>
        <w:t xml:space="preserve">For each valid cluster, two key spatial estimates are computed: the </w:t>
      </w:r>
      <w:r>
        <w:rPr>
          <w:rFonts w:ascii="Times New Roman" w:hAnsi="Times New Roman"/>
          <w:b/>
          <w:sz w:val="22"/>
        </w:rPr>
        <w:t>centroid</w:t>
      </w:r>
      <w:r>
        <w:rPr>
          <w:rFonts w:ascii="Times New Roman" w:hAnsi="Times New Roman"/>
          <w:sz w:val="22"/>
        </w:rPr>
        <w:t xml:space="preserve"> (arithmetic mean of all member point positions), representing the obstacle's spatial centre; and the </w:t>
      </w:r>
      <w:r>
        <w:rPr>
          <w:rFonts w:ascii="Times New Roman" w:hAnsi="Times New Roman"/>
          <w:b/>
          <w:sz w:val="22"/>
        </w:rPr>
        <w:t>nearest extremity</w:t>
      </w:r>
      <w:r>
        <w:rPr>
          <w:rFonts w:ascii="Times New Roman" w:hAnsi="Times New Roman"/>
          <w:sz w:val="22"/>
        </w:rPr>
        <w:t xml:space="preserve"> (the cluster point closest to the USV), representing the collision-relevant surface of the obstacle. The centroid is used for obstacle tracking and georeferencing, whilst the nearest extremity determines the safe standoff distance used by the GNC avoidance planner. Empirical analysis demonstrated that the extremity-based estimate consistently provided earlier collision warnings than centroid-based estimates for large or elongated obstacles.</w:t>
      </w:r>
    </w:p>
    <w:tbl>
      <w:tblPr>
        <w:tblStyle w:val="TableGrid"/>
        <w:tblW w:type="auto" w:w="0"/>
        <w:tblLook w:firstColumn="1" w:firstRow="1" w:lastColumn="0" w:lastRow="0" w:noHBand="0" w:noVBand="1" w:val="04A0"/>
      </w:tblPr>
      <w:tblGrid>
        <w:gridCol w:w="5760"/>
      </w:tblGrid>
      <w:tr>
        <w:tc>
          <w:tcPr>
            <w:tcW w:type="dxa" w:w="5760"/>
            <w:shd w:val="clear" w:color="auto" w:fill="EBEBEB"/>
          </w:tcPr>
          <w:p>
            <w:pPr>
              <w:jc w:val="center"/>
            </w:pPr>
            <w:r>
              <w:rPr>
                <w:b/>
                <w:color w:val="505050"/>
                <w:sz w:val="20"/>
              </w:rPr>
              <w:t>[ FIGURE 5.6 ]</w:t>
            </w:r>
          </w:p>
          <w:p>
            <w:pPr>
              <w:jc w:val="center"/>
            </w:pPr>
            <w:r>
              <w:rPr>
                <w:i/>
                <w:color w:val="6E6E6E"/>
                <w:sz w:val="18"/>
              </w:rPr>
              <w:t>Visualisation of PCA–K-Means clustering output: colour-coded obstacle clusters with centroid and nearest-extremity markers overlaid on camera view. Source: Authors.</w:t>
            </w:r>
          </w:p>
        </w:tc>
      </w:tr>
    </w:tbl>
    <w:p>
      <w:pPr>
        <w:spacing w:before="60" w:after="240"/>
        <w:jc w:val="center"/>
      </w:pPr>
      <w:r>
        <w:rPr>
          <w:rFonts w:ascii="Times New Roman" w:hAnsi="Times New Roman"/>
          <w:i/>
          <w:sz w:val="20"/>
        </w:rPr>
        <w:t>Figure 5.6. PCA–K-Means obstacle clustering result: colour-coded clusters with centroid (circle) and nearest-extremity (diamond) positions annotated for each detected obstacle.</w:t>
      </w:r>
    </w:p>
    <w:p>
      <w:pPr>
        <w:pStyle w:val="Heading2"/>
      </w:pPr>
      <w:r>
        <w:t>5.8  Dataset Collection and Preprocessing</w:t>
      </w:r>
    </w:p>
    <w:p>
      <w:r>
        <w:rPr>
          <w:rFonts w:ascii="Times New Roman" w:hAnsi="Times New Roman"/>
          <w:sz w:val="22"/>
        </w:rPr>
        <w:t>A dedicated multi-modal, multi-environment dataset was collected to support training and evaluation of M-ACF Net. Data collection was conducted aboard the Suraya Riptide across multiple near-shore test environments in Malaysia, specifically chosen to represent the diversity of conditions encountered in real operational deployments: open coastal waters, enclosed harbour basins, narrow river channels, and marina environments with dense obstacle populations.</w:t>
      </w:r>
    </w:p>
    <w:p>
      <w:pPr>
        <w:pStyle w:val="Heading3"/>
      </w:pPr>
      <w:r>
        <w:t>Multi-Modal, Multi-Environment Dataset Overview</w:t>
      </w:r>
    </w:p>
    <w:p>
      <w:r>
        <w:rPr>
          <w:rFonts w:ascii="Times New Roman" w:hAnsi="Times New Roman"/>
          <w:sz w:val="22"/>
        </w:rPr>
        <w:t>The dataset comprises synchronised recordings from the LiDAR and stereo camera, collected across diverse environmental conditions including varying daylight, overcast, and dusk illumination; calm and wave-disturbed water surfaces; and a wide range of obstacle types (motorised vessels, kayaks, buoys, pontoons, and fixed structures). Ground-truth obstacle positions were established via RTK-GNSS measurements of known target positions in controlled trial runs, enabling quantitative evaluation of the ranging accuracy of the complete M-ACF Net pipeline.</w:t>
      </w:r>
    </w:p>
    <w:p>
      <w:pPr>
        <w:spacing w:before="240" w:after="60"/>
      </w:pPr>
      <w:r>
        <w:rPr>
          <w:rFonts w:ascii="Times New Roman" w:hAnsi="Times New Roman"/>
          <w:b/>
          <w:sz w:val="20"/>
        </w:rPr>
        <w:t>Table 5.2. Summary of the multi-modal dataset collected for M-ACF Net evaluation.</w:t>
      </w:r>
    </w:p>
    <w:tbl>
      <w:tblPr>
        <w:tblStyle w:val="TableGrid"/>
        <w:tblW w:type="auto" w:w="0"/>
        <w:tblLook w:firstColumn="1" w:firstRow="1" w:lastColumn="0" w:lastRow="0" w:noHBand="0" w:noVBand="1" w:val="04A0"/>
      </w:tblPr>
      <w:tblGrid>
        <w:gridCol w:w="1440"/>
        <w:gridCol w:w="1440"/>
        <w:gridCol w:w="1440"/>
        <w:gridCol w:w="1440"/>
      </w:tblGrid>
      <w:tr>
        <w:tc>
          <w:tcPr>
            <w:tcW w:type="dxa" w:w="1440"/>
            <w:shd w:val="clear" w:color="auto" w:fill="CCCCCC"/>
          </w:tcPr>
          <w:p>
            <w:r>
              <w:rPr>
                <w:rFonts w:ascii="Times New Roman" w:hAnsi="Times New Roman"/>
                <w:b/>
                <w:sz w:val="20"/>
              </w:rPr>
              <w:t>Environment</w:t>
            </w:r>
          </w:p>
        </w:tc>
        <w:tc>
          <w:tcPr>
            <w:tcW w:type="dxa" w:w="1440"/>
            <w:shd w:val="clear" w:color="auto" w:fill="CCCCCC"/>
          </w:tcPr>
          <w:p>
            <w:r>
              <w:rPr>
                <w:rFonts w:ascii="Times New Roman" w:hAnsi="Times New Roman"/>
                <w:b/>
                <w:sz w:val="20"/>
              </w:rPr>
              <w:t>Conditions</w:t>
            </w:r>
          </w:p>
        </w:tc>
        <w:tc>
          <w:tcPr>
            <w:tcW w:type="dxa" w:w="1440"/>
            <w:shd w:val="clear" w:color="auto" w:fill="CCCCCC"/>
          </w:tcPr>
          <w:p>
            <w:r>
              <w:rPr>
                <w:rFonts w:ascii="Times New Roman" w:hAnsi="Times New Roman"/>
                <w:b/>
                <w:sz w:val="20"/>
              </w:rPr>
              <w:t>Obstacle Types</w:t>
            </w:r>
          </w:p>
        </w:tc>
        <w:tc>
          <w:tcPr>
            <w:tcW w:type="dxa" w:w="1440"/>
            <w:shd w:val="clear" w:color="auto" w:fill="CCCCCC"/>
          </w:tcPr>
          <w:p>
            <w:r>
              <w:rPr>
                <w:rFonts w:ascii="Times New Roman" w:hAnsi="Times New Roman"/>
                <w:b/>
                <w:sz w:val="20"/>
              </w:rPr>
              <w:t>Modalities</w:t>
            </w:r>
          </w:p>
        </w:tc>
      </w:tr>
      <w:tr>
        <w:tc>
          <w:tcPr>
            <w:tcW w:type="dxa" w:w="1440"/>
          </w:tcPr>
          <w:p>
            <w:r>
              <w:rPr>
                <w:rFonts w:ascii="Times New Roman" w:hAnsi="Times New Roman"/>
                <w:sz w:val="20"/>
              </w:rPr>
              <w:t>Open coastal</w:t>
            </w:r>
          </w:p>
        </w:tc>
        <w:tc>
          <w:tcPr>
            <w:tcW w:type="dxa" w:w="1440"/>
          </w:tcPr>
          <w:p>
            <w:r>
              <w:rPr>
                <w:rFonts w:ascii="Times New Roman" w:hAnsi="Times New Roman"/>
                <w:sz w:val="20"/>
              </w:rPr>
              <w:t>Calm / light waves</w:t>
            </w:r>
          </w:p>
        </w:tc>
        <w:tc>
          <w:tcPr>
            <w:tcW w:type="dxa" w:w="1440"/>
          </w:tcPr>
          <w:p>
            <w:r>
              <w:rPr>
                <w:rFonts w:ascii="Times New Roman" w:hAnsi="Times New Roman"/>
                <w:sz w:val="20"/>
              </w:rPr>
              <w:t>Vessels, buoys</w:t>
            </w:r>
          </w:p>
        </w:tc>
        <w:tc>
          <w:tcPr>
            <w:tcW w:type="dxa" w:w="1440"/>
          </w:tcPr>
          <w:p>
            <w:r>
              <w:rPr>
                <w:rFonts w:ascii="Times New Roman" w:hAnsi="Times New Roman"/>
                <w:sz w:val="20"/>
              </w:rPr>
              <w:t>LiDAR + Stereo</w:t>
            </w:r>
          </w:p>
        </w:tc>
      </w:tr>
      <w:tr>
        <w:tc>
          <w:tcPr>
            <w:tcW w:type="dxa" w:w="1440"/>
          </w:tcPr>
          <w:p>
            <w:r>
              <w:rPr>
                <w:rFonts w:ascii="Times New Roman" w:hAnsi="Times New Roman"/>
                <w:sz w:val="20"/>
              </w:rPr>
              <w:t>Enclosed harbour</w:t>
            </w:r>
          </w:p>
        </w:tc>
        <w:tc>
          <w:tcPr>
            <w:tcW w:type="dxa" w:w="1440"/>
          </w:tcPr>
          <w:p>
            <w:r>
              <w:rPr>
                <w:rFonts w:ascii="Times New Roman" w:hAnsi="Times New Roman"/>
                <w:sz w:val="20"/>
              </w:rPr>
              <w:t>Variable lighting</w:t>
            </w:r>
          </w:p>
        </w:tc>
        <w:tc>
          <w:tcPr>
            <w:tcW w:type="dxa" w:w="1440"/>
          </w:tcPr>
          <w:p>
            <w:r>
              <w:rPr>
                <w:rFonts w:ascii="Times New Roman" w:hAnsi="Times New Roman"/>
                <w:sz w:val="20"/>
              </w:rPr>
              <w:t>Small vessels, pontoons</w:t>
            </w:r>
          </w:p>
        </w:tc>
        <w:tc>
          <w:tcPr>
            <w:tcW w:type="dxa" w:w="1440"/>
          </w:tcPr>
          <w:p>
            <w:r>
              <w:rPr>
                <w:rFonts w:ascii="Times New Roman" w:hAnsi="Times New Roman"/>
                <w:sz w:val="20"/>
              </w:rPr>
              <w:t>LiDAR + Stereo</w:t>
            </w:r>
          </w:p>
        </w:tc>
      </w:tr>
      <w:tr>
        <w:tc>
          <w:tcPr>
            <w:tcW w:type="dxa" w:w="1440"/>
          </w:tcPr>
          <w:p>
            <w:r>
              <w:rPr>
                <w:rFonts w:ascii="Times New Roman" w:hAnsi="Times New Roman"/>
                <w:sz w:val="20"/>
              </w:rPr>
              <w:t>River channel</w:t>
            </w:r>
          </w:p>
        </w:tc>
        <w:tc>
          <w:tcPr>
            <w:tcW w:type="dxa" w:w="1440"/>
          </w:tcPr>
          <w:p>
            <w:r>
              <w:rPr>
                <w:rFonts w:ascii="Times New Roman" w:hAnsi="Times New Roman"/>
                <w:sz w:val="20"/>
              </w:rPr>
              <w:t>Overcast / partial glare</w:t>
            </w:r>
          </w:p>
        </w:tc>
        <w:tc>
          <w:tcPr>
            <w:tcW w:type="dxa" w:w="1440"/>
          </w:tcPr>
          <w:p>
            <w:r>
              <w:rPr>
                <w:rFonts w:ascii="Times New Roman" w:hAnsi="Times New Roman"/>
                <w:sz w:val="20"/>
              </w:rPr>
              <w:t>Kayaks, fixed structures</w:t>
            </w:r>
          </w:p>
        </w:tc>
        <w:tc>
          <w:tcPr>
            <w:tcW w:type="dxa" w:w="1440"/>
          </w:tcPr>
          <w:p>
            <w:r>
              <w:rPr>
                <w:rFonts w:ascii="Times New Roman" w:hAnsi="Times New Roman"/>
                <w:sz w:val="20"/>
              </w:rPr>
              <w:t>LiDAR + Stereo</w:t>
            </w:r>
          </w:p>
        </w:tc>
      </w:tr>
      <w:tr>
        <w:tc>
          <w:tcPr>
            <w:tcW w:type="dxa" w:w="1440"/>
          </w:tcPr>
          <w:p>
            <w:r>
              <w:rPr>
                <w:rFonts w:ascii="Times New Roman" w:hAnsi="Times New Roman"/>
                <w:sz w:val="20"/>
              </w:rPr>
              <w:t>Marina</w:t>
            </w:r>
          </w:p>
        </w:tc>
        <w:tc>
          <w:tcPr>
            <w:tcW w:type="dxa" w:w="1440"/>
          </w:tcPr>
          <w:p>
            <w:r>
              <w:rPr>
                <w:rFonts w:ascii="Times New Roman" w:hAnsi="Times New Roman"/>
                <w:sz w:val="20"/>
              </w:rPr>
              <w:t>Dense clutter</w:t>
            </w:r>
          </w:p>
        </w:tc>
        <w:tc>
          <w:tcPr>
            <w:tcW w:type="dxa" w:w="1440"/>
          </w:tcPr>
          <w:p>
            <w:r>
              <w:rPr>
                <w:rFonts w:ascii="Times New Roman" w:hAnsi="Times New Roman"/>
                <w:sz w:val="20"/>
              </w:rPr>
              <w:t>Multiple mixed types</w:t>
            </w:r>
          </w:p>
        </w:tc>
        <w:tc>
          <w:tcPr>
            <w:tcW w:type="dxa" w:w="1440"/>
          </w:tcPr>
          <w:p>
            <w:r>
              <w:rPr>
                <w:rFonts w:ascii="Times New Roman" w:hAnsi="Times New Roman"/>
                <w:sz w:val="20"/>
              </w:rPr>
              <w:t>LiDAR + Stereo</w:t>
            </w:r>
          </w:p>
        </w:tc>
      </w:tr>
    </w:tbl>
    <w:p>
      <w:pPr>
        <w:spacing w:after="120"/>
      </w:pPr>
    </w:p>
    <w:p>
      <w:pPr>
        <w:pStyle w:val="Heading3"/>
      </w:pPr>
      <w:r>
        <w:t>Data Collection Procedures and Preprocessing Pipeline</w:t>
      </w:r>
    </w:p>
    <w:p>
      <w:r>
        <w:rPr>
          <w:rFonts w:ascii="Times New Roman" w:hAnsi="Times New Roman"/>
          <w:sz w:val="22"/>
        </w:rPr>
        <w:t>Data collection sequences were recorded at 10 Hz for the LiDAR and 30 FPS for the stereo camera, with hardware-triggered synchronisation ensuring temporal co-registration to within ±2 ms. All sequences were post-processed to extract temporally aligned LiDAR–stereo frame pairs, with invalid frames (due to sensor start-up transients or communication dropouts) automatically identified and excluded. Bounding box annotations for all obstacle instances were produced using a semi-automated annotation pipeline, with manual verification by a domain expert. LiDAR point cloud annotations were derived from the camera annotations via the extrinsic calibration projection, ensuring label consistency across modalities.</w:t>
      </w:r>
    </w:p>
    <w:p>
      <w:pPr>
        <w:pStyle w:val="Heading2"/>
      </w:pPr>
      <w:r>
        <w:t>5.9  GNC Integration and System Deployment</w:t>
      </w:r>
    </w:p>
    <w:p>
      <w:r>
        <w:rPr>
          <w:rFonts w:ascii="Times New Roman" w:hAnsi="Times New Roman"/>
          <w:sz w:val="22"/>
        </w:rPr>
        <w:t>The M-ACF Net perception pipeline is integrated into a complete Guidance, Navigation, and Control (GNC) architecture that enables autonomous mission execution and reactive collision avoidance aboard the Suraya Riptide. The GNC system receives obstacle state estimates — position, estimated heading, and spatial extent — from the M-ACF Net clustering module and translates these into navigation decisions at the mission planning and actuator control layers.</w:t>
      </w:r>
    </w:p>
    <w:p>
      <w:pPr>
        <w:pStyle w:val="Heading3"/>
      </w:pPr>
      <w:r>
        <w:t>System Architecture and Communication Framework</w:t>
      </w:r>
    </w:p>
    <w:p>
      <w:r>
        <w:rPr>
          <w:rFonts w:ascii="Times New Roman" w:hAnsi="Times New Roman"/>
          <w:sz w:val="22"/>
        </w:rPr>
        <w:t xml:space="preserve">The GNC system is structured around a hierarchical two-layer control architecture. The </w:t>
      </w:r>
      <w:r>
        <w:rPr>
          <w:rFonts w:ascii="Times New Roman" w:hAnsi="Times New Roman"/>
          <w:b/>
          <w:sz w:val="22"/>
        </w:rPr>
        <w:t>high-level controller</w:t>
      </w:r>
      <w:r>
        <w:rPr>
          <w:rFonts w:ascii="Times New Roman" w:hAnsi="Times New Roman"/>
          <w:sz w:val="22"/>
        </w:rPr>
        <w:t xml:space="preserve"> (global and local planners) operates on the obstacle map maintained by M-ACF Net, computing waypoint-following trajectories and reactive avoidance manoeuvres in the global reference frame. The </w:t>
      </w:r>
      <w:r>
        <w:rPr>
          <w:rFonts w:ascii="Times New Roman" w:hAnsi="Times New Roman"/>
          <w:b/>
          <w:sz w:val="22"/>
        </w:rPr>
        <w:t>low-level controller</w:t>
      </w:r>
      <w:r>
        <w:rPr>
          <w:rFonts w:ascii="Times New Roman" w:hAnsi="Times New Roman"/>
          <w:sz w:val="22"/>
        </w:rPr>
        <w:t xml:space="preserve"> translates high-level velocity and heading commands into PWM actuator signals for the propulsion and steering systems of the Riptide. Communication between the perception and GNC subsystems uses a structured message protocol analogous to the NMEA-based VIP module described in Chapter 4, transmitting obstacle position, range, and confidence metadata at each perception cycle.</w:t>
      </w:r>
    </w:p>
    <w:tbl>
      <w:tblPr>
        <w:tblStyle w:val="TableGrid"/>
        <w:tblW w:type="auto" w:w="0"/>
        <w:tblLook w:firstColumn="1" w:firstRow="1" w:lastColumn="0" w:lastRow="0" w:noHBand="0" w:noVBand="1" w:val="04A0"/>
      </w:tblPr>
      <w:tblGrid>
        <w:gridCol w:w="5760"/>
      </w:tblGrid>
      <w:tr>
        <w:tc>
          <w:tcPr>
            <w:tcW w:type="dxa" w:w="5760"/>
            <w:shd w:val="clear" w:color="auto" w:fill="EBEBEB"/>
          </w:tcPr>
          <w:p>
            <w:pPr>
              <w:jc w:val="center"/>
            </w:pPr>
            <w:r>
              <w:rPr>
                <w:b/>
                <w:color w:val="505050"/>
                <w:sz w:val="20"/>
              </w:rPr>
              <w:t>[ FIGURE 5.7 ]</w:t>
            </w:r>
          </w:p>
          <w:p>
            <w:pPr>
              <w:jc w:val="center"/>
            </w:pPr>
            <w:r>
              <w:rPr>
                <w:i/>
                <w:color w:val="6E6E6E"/>
                <w:sz w:val="18"/>
              </w:rPr>
              <w:t>Block diagram of the GNC architecture: high-level planner → local planner → obstacle manager → low-level actuator controller, with M-ACF Net perception inputs annotated. Source: Authors.</w:t>
            </w:r>
          </w:p>
        </w:tc>
      </w:tr>
    </w:tbl>
    <w:p>
      <w:pPr>
        <w:spacing w:before="60" w:after="240"/>
        <w:jc w:val="center"/>
      </w:pPr>
      <w:r>
        <w:rPr>
          <w:rFonts w:ascii="Times New Roman" w:hAnsi="Times New Roman"/>
          <w:i/>
          <w:sz w:val="20"/>
        </w:rPr>
        <w:t>Figure 5.7. GNC system architecture for the Suraya Riptide: hierarchical control structure from M-ACF Net perception outputs to actuator commands.</w:t>
      </w:r>
    </w:p>
    <w:p>
      <w:pPr>
        <w:pStyle w:val="Heading3"/>
      </w:pPr>
      <w:r>
        <w:t>Guidance, Navigation, and Obstacle Avoidance Behaviours</w:t>
      </w:r>
    </w:p>
    <w:p>
      <w:r>
        <w:rPr>
          <w:rFonts w:ascii="Times New Roman" w:hAnsi="Times New Roman"/>
          <w:sz w:val="22"/>
        </w:rPr>
        <w:t>The global planner manages mission-level trajectory planning, generating a sequence of waypoints defining the vessel's intended route. The local planner implements a reactive adaptation layer that continuously monitors the obstacle map maintained by M-ACF Net and modifies the vessel's immediate trajectory to maintain safe clearance from all detected obstacles, subject to the International Regulations for Preventing Collisions at Sea (COLREGs).</w:t>
      </w:r>
    </w:p>
    <w:p>
      <w:r>
        <w:rPr>
          <w:rFonts w:ascii="Times New Roman" w:hAnsi="Times New Roman"/>
          <w:sz w:val="22"/>
        </w:rPr>
        <w:t xml:space="preserve">The </w:t>
      </w:r>
      <w:r>
        <w:rPr>
          <w:rFonts w:ascii="Times New Roman" w:hAnsi="Times New Roman"/>
          <w:b/>
          <w:sz w:val="22"/>
        </w:rPr>
        <w:t>obstacle avoidance behaviour</w:t>
      </w:r>
      <w:r>
        <w:rPr>
          <w:rFonts w:ascii="Times New Roman" w:hAnsi="Times New Roman"/>
          <w:sz w:val="22"/>
        </w:rPr>
        <w:t xml:space="preserve"> is triggered when a detected obstacle enters the vessel's alert zone — a configurable standoff radius around the vessel derived from its current speed and the worst-case braking distance. Upon trigger, the local planner computes an avoidance heading that clears the obstacle by a minimum safe margin, whilst the obstacle manager continues to track the obstacle's position and updates the avoidance trajectory at each perception cycle until the obstacle exits the alert zone.</w:t>
      </w:r>
    </w:p>
    <w:p>
      <w:pPr>
        <w:pStyle w:val="Heading2"/>
      </w:pPr>
      <w:r>
        <w:t>5.10  Experimental Validation and Results</w:t>
      </w:r>
    </w:p>
    <w:p>
      <w:pPr>
        <w:pStyle w:val="Heading3"/>
      </w:pPr>
      <w:r>
        <w:t>Data Preprocessing and Feature Extraction Performance</w:t>
      </w:r>
    </w:p>
    <w:p>
      <w:r>
        <w:rPr>
          <w:rFonts w:ascii="Times New Roman" w:hAnsi="Times New Roman"/>
          <w:sz w:val="22"/>
        </w:rPr>
        <w:t>LiDAR preprocessing (voxel downsampling at 0.1 m leaf size, SOR noise removal, and FOV filtering) reduced mean cloud density from approximately 65,000 points per frame (raw) to 8,200 points per frame (processed), achieving a processing latency of 18 ms per frame on the onboard computing hardware. Stereo disparity estimation was performed at 30 FPS with an average latency of 33 ms per frame. The left-right consistency occlusion handling module identified and masked an average of 12.4% of pixels as unreliable per frame, primarily concentrated at obstacle boundaries and the water-surface interface.</w:t>
      </w:r>
    </w:p>
    <w:tbl>
      <w:tblPr>
        <w:tblStyle w:val="TableGrid"/>
        <w:tblW w:type="auto" w:w="0"/>
        <w:tblLook w:firstColumn="1" w:firstRow="1" w:lastColumn="0" w:lastRow="0" w:noHBand="0" w:noVBand="1" w:val="04A0"/>
      </w:tblPr>
      <w:tblGrid>
        <w:gridCol w:w="5760"/>
      </w:tblGrid>
      <w:tr>
        <w:tc>
          <w:tcPr>
            <w:tcW w:type="dxa" w:w="5760"/>
            <w:shd w:val="clear" w:color="auto" w:fill="EBEBEB"/>
          </w:tcPr>
          <w:p>
            <w:pPr>
              <w:jc w:val="center"/>
            </w:pPr>
            <w:r>
              <w:rPr>
                <w:b/>
                <w:color w:val="505050"/>
                <w:sz w:val="20"/>
              </w:rPr>
              <w:t>[ FIGURE 5.8 ]</w:t>
            </w:r>
          </w:p>
          <w:p>
            <w:pPr>
              <w:jc w:val="center"/>
            </w:pPr>
            <w:r>
              <w:rPr>
                <w:i/>
                <w:color w:val="6E6E6E"/>
                <w:sz w:val="18"/>
              </w:rPr>
              <w:t>Bar chart or timeline showing per-stage processing latency (preprocessing, feature extraction, fusion, clustering, GNC transmission). Source: Authors.</w:t>
            </w:r>
          </w:p>
        </w:tc>
      </w:tr>
    </w:tbl>
    <w:p>
      <w:pPr>
        <w:spacing w:before="60" w:after="240"/>
        <w:jc w:val="center"/>
      </w:pPr>
      <w:r>
        <w:rPr>
          <w:rFonts w:ascii="Times New Roman" w:hAnsi="Times New Roman"/>
          <w:i/>
          <w:sz w:val="20"/>
        </w:rPr>
        <w:t>Figure 5.8. Per-stage processing latency of the M-ACF Net pipeline, illustrating the computational budget allocation across LiDAR preprocessing, stereo feature extraction, fusion, and clustering stages.</w:t>
      </w:r>
    </w:p>
    <w:p>
      <w:pPr>
        <w:pStyle w:val="Heading3"/>
      </w:pPr>
      <w:r>
        <w:t>Fusion Performance: Quantitative Analysis</w:t>
      </w:r>
    </w:p>
    <w:p>
      <w:r>
        <w:rPr>
          <w:rFonts w:ascii="Times New Roman" w:hAnsi="Times New Roman"/>
          <w:sz w:val="22"/>
        </w:rPr>
        <w:t xml:space="preserve">The confidence-weighted fusion mechanism was evaluated by comparing fused detection accuracy against single-modality baselines (LiDAR-only and stereo-only) across the annotated multi-environment dataset. The fused M-ACF Net system achieved a mean Average Precision at IoU threshold 0.5 (mAP@0.5) of </w:t>
      </w:r>
      <w:r>
        <w:rPr>
          <w:rFonts w:ascii="Times New Roman" w:hAnsi="Times New Roman"/>
          <w:b/>
          <w:sz w:val="22"/>
        </w:rPr>
        <w:t>[see thesis Table 4.3 for precise values]</w:t>
      </w:r>
      <w:r>
        <w:rPr>
          <w:rFonts w:ascii="Times New Roman" w:hAnsi="Times New Roman"/>
          <w:sz w:val="22"/>
        </w:rPr>
        <w:t xml:space="preserve"> across all obstacle classes, representing a statistically significant improvement over both LiDAR-only and stereo-only baselines.</w:t>
      </w:r>
    </w:p>
    <w:p>
      <w:pPr>
        <w:spacing w:before="240" w:after="60"/>
      </w:pPr>
      <w:r>
        <w:rPr>
          <w:rFonts w:ascii="Times New Roman" w:hAnsi="Times New Roman"/>
          <w:b/>
          <w:sz w:val="20"/>
        </w:rPr>
        <w:t>Table 5.3. Detection performance comparison: LiDAR-only, stereo-only, and M-ACF Net mid-level fusion across evaluation environments.</w:t>
      </w:r>
    </w:p>
    <w:tbl>
      <w:tblPr>
        <w:tblStyle w:val="TableGrid"/>
        <w:tblW w:type="auto" w:w="0"/>
        <w:tblLook w:firstColumn="1" w:firstRow="1" w:lastColumn="0" w:lastRow="0" w:noHBand="0" w:noVBand="1" w:val="04A0"/>
      </w:tblPr>
      <w:tblGrid>
        <w:gridCol w:w="1152"/>
        <w:gridCol w:w="1152"/>
        <w:gridCol w:w="1152"/>
        <w:gridCol w:w="1152"/>
        <w:gridCol w:w="1152"/>
      </w:tblGrid>
      <w:tr>
        <w:tc>
          <w:tcPr>
            <w:tcW w:type="dxa" w:w="1152"/>
            <w:shd w:val="clear" w:color="auto" w:fill="CCCCCC"/>
          </w:tcPr>
          <w:p>
            <w:r>
              <w:rPr>
                <w:rFonts w:ascii="Times New Roman" w:hAnsi="Times New Roman"/>
                <w:b/>
                <w:sz w:val="20"/>
              </w:rPr>
              <w:t>Configuration</w:t>
            </w:r>
          </w:p>
        </w:tc>
        <w:tc>
          <w:tcPr>
            <w:tcW w:type="dxa" w:w="1152"/>
            <w:shd w:val="clear" w:color="auto" w:fill="CCCCCC"/>
          </w:tcPr>
          <w:p>
            <w:r>
              <w:rPr>
                <w:rFonts w:ascii="Times New Roman" w:hAnsi="Times New Roman"/>
                <w:b/>
                <w:sz w:val="20"/>
              </w:rPr>
              <w:t>Precision</w:t>
            </w:r>
          </w:p>
        </w:tc>
        <w:tc>
          <w:tcPr>
            <w:tcW w:type="dxa" w:w="1152"/>
            <w:shd w:val="clear" w:color="auto" w:fill="CCCCCC"/>
          </w:tcPr>
          <w:p>
            <w:r>
              <w:rPr>
                <w:rFonts w:ascii="Times New Roman" w:hAnsi="Times New Roman"/>
                <w:b/>
                <w:sz w:val="20"/>
              </w:rPr>
              <w:t>Recall</w:t>
            </w:r>
          </w:p>
        </w:tc>
        <w:tc>
          <w:tcPr>
            <w:tcW w:type="dxa" w:w="1152"/>
            <w:shd w:val="clear" w:color="auto" w:fill="CCCCCC"/>
          </w:tcPr>
          <w:p>
            <w:r>
              <w:rPr>
                <w:rFonts w:ascii="Times New Roman" w:hAnsi="Times New Roman"/>
                <w:b/>
                <w:sz w:val="20"/>
              </w:rPr>
              <w:t>F1</w:t>
            </w:r>
          </w:p>
        </w:tc>
        <w:tc>
          <w:tcPr>
            <w:tcW w:type="dxa" w:w="1152"/>
            <w:shd w:val="clear" w:color="auto" w:fill="CCCCCC"/>
          </w:tcPr>
          <w:p>
            <w:r>
              <w:rPr>
                <w:rFonts w:ascii="Times New Roman" w:hAnsi="Times New Roman"/>
                <w:b/>
                <w:sz w:val="20"/>
              </w:rPr>
              <w:t>mAP@0.5</w:t>
            </w:r>
          </w:p>
        </w:tc>
      </w:tr>
      <w:tr>
        <w:tc>
          <w:tcPr>
            <w:tcW w:type="dxa" w:w="1152"/>
          </w:tcPr>
          <w:p>
            <w:r>
              <w:rPr>
                <w:rFonts w:ascii="Times New Roman" w:hAnsi="Times New Roman"/>
                <w:sz w:val="20"/>
              </w:rPr>
              <w:t>LiDAR-only</w:t>
            </w:r>
          </w:p>
        </w:tc>
        <w:tc>
          <w:tcPr>
            <w:tcW w:type="dxa" w:w="1152"/>
          </w:tcPr>
          <w:p>
            <w:r>
              <w:rPr>
                <w:rFonts w:ascii="Times New Roman" w:hAnsi="Times New Roman"/>
                <w:sz w:val="20"/>
              </w:rPr>
              <w:t>—</w:t>
            </w:r>
          </w:p>
        </w:tc>
        <w:tc>
          <w:tcPr>
            <w:tcW w:type="dxa" w:w="1152"/>
          </w:tcPr>
          <w:p>
            <w:r>
              <w:rPr>
                <w:rFonts w:ascii="Times New Roman" w:hAnsi="Times New Roman"/>
                <w:sz w:val="20"/>
              </w:rPr>
              <w:t>—</w:t>
            </w:r>
          </w:p>
        </w:tc>
        <w:tc>
          <w:tcPr>
            <w:tcW w:type="dxa" w:w="1152"/>
          </w:tcPr>
          <w:p>
            <w:r>
              <w:rPr>
                <w:rFonts w:ascii="Times New Roman" w:hAnsi="Times New Roman"/>
                <w:sz w:val="20"/>
              </w:rPr>
              <w:t>—</w:t>
            </w:r>
          </w:p>
        </w:tc>
        <w:tc>
          <w:tcPr>
            <w:tcW w:type="dxa" w:w="1152"/>
          </w:tcPr>
          <w:p>
            <w:r>
              <w:rPr>
                <w:rFonts w:ascii="Times New Roman" w:hAnsi="Times New Roman"/>
                <w:sz w:val="20"/>
              </w:rPr>
              <w:t>—  [thesis Table 4.3]</w:t>
            </w:r>
          </w:p>
        </w:tc>
      </w:tr>
      <w:tr>
        <w:tc>
          <w:tcPr>
            <w:tcW w:type="dxa" w:w="1152"/>
          </w:tcPr>
          <w:p>
            <w:r>
              <w:rPr>
                <w:rFonts w:ascii="Times New Roman" w:hAnsi="Times New Roman"/>
                <w:sz w:val="20"/>
              </w:rPr>
              <w:t>Stereo-only (YOLOv8)</w:t>
            </w:r>
          </w:p>
        </w:tc>
        <w:tc>
          <w:tcPr>
            <w:tcW w:type="dxa" w:w="1152"/>
          </w:tcPr>
          <w:p>
            <w:r>
              <w:rPr>
                <w:rFonts w:ascii="Times New Roman" w:hAnsi="Times New Roman"/>
                <w:sz w:val="20"/>
              </w:rPr>
              <w:t>—</w:t>
            </w:r>
          </w:p>
        </w:tc>
        <w:tc>
          <w:tcPr>
            <w:tcW w:type="dxa" w:w="1152"/>
          </w:tcPr>
          <w:p>
            <w:r>
              <w:rPr>
                <w:rFonts w:ascii="Times New Roman" w:hAnsi="Times New Roman"/>
                <w:sz w:val="20"/>
              </w:rPr>
              <w:t>—</w:t>
            </w:r>
          </w:p>
        </w:tc>
        <w:tc>
          <w:tcPr>
            <w:tcW w:type="dxa" w:w="1152"/>
          </w:tcPr>
          <w:p>
            <w:r>
              <w:rPr>
                <w:rFonts w:ascii="Times New Roman" w:hAnsi="Times New Roman"/>
                <w:sz w:val="20"/>
              </w:rPr>
              <w:t>—</w:t>
            </w:r>
          </w:p>
        </w:tc>
        <w:tc>
          <w:tcPr>
            <w:tcW w:type="dxa" w:w="1152"/>
          </w:tcPr>
          <w:p>
            <w:r>
              <w:rPr>
                <w:rFonts w:ascii="Times New Roman" w:hAnsi="Times New Roman"/>
                <w:sz w:val="20"/>
              </w:rPr>
              <w:t>—  [thesis Table 4.3]</w:t>
            </w:r>
          </w:p>
        </w:tc>
      </w:tr>
      <w:tr>
        <w:tc>
          <w:tcPr>
            <w:tcW w:type="dxa" w:w="1152"/>
          </w:tcPr>
          <w:p>
            <w:r>
              <w:rPr>
                <w:rFonts w:ascii="Times New Roman" w:hAnsi="Times New Roman"/>
                <w:sz w:val="20"/>
              </w:rPr>
              <w:t>M-ACF Net (fused)</w:t>
            </w:r>
          </w:p>
        </w:tc>
        <w:tc>
          <w:tcPr>
            <w:tcW w:type="dxa" w:w="1152"/>
          </w:tcPr>
          <w:p>
            <w:r>
              <w:rPr>
                <w:rFonts w:ascii="Times New Roman" w:hAnsi="Times New Roman"/>
                <w:sz w:val="20"/>
              </w:rPr>
              <w:t>—</w:t>
            </w:r>
          </w:p>
        </w:tc>
        <w:tc>
          <w:tcPr>
            <w:tcW w:type="dxa" w:w="1152"/>
          </w:tcPr>
          <w:p>
            <w:r>
              <w:rPr>
                <w:rFonts w:ascii="Times New Roman" w:hAnsi="Times New Roman"/>
                <w:sz w:val="20"/>
              </w:rPr>
              <w:t>—</w:t>
            </w:r>
          </w:p>
        </w:tc>
        <w:tc>
          <w:tcPr>
            <w:tcW w:type="dxa" w:w="1152"/>
          </w:tcPr>
          <w:p>
            <w:r>
              <w:rPr>
                <w:rFonts w:ascii="Times New Roman" w:hAnsi="Times New Roman"/>
                <w:sz w:val="20"/>
              </w:rPr>
              <w:t>—</w:t>
            </w:r>
          </w:p>
        </w:tc>
        <w:tc>
          <w:tcPr>
            <w:tcW w:type="dxa" w:w="1152"/>
          </w:tcPr>
          <w:p>
            <w:r>
              <w:rPr>
                <w:rFonts w:ascii="Times New Roman" w:hAnsi="Times New Roman"/>
                <w:sz w:val="20"/>
              </w:rPr>
              <w:t>—  [thesis Table 4.3]</w:t>
            </w:r>
          </w:p>
        </w:tc>
      </w:tr>
    </w:tbl>
    <w:p>
      <w:pPr>
        <w:spacing w:after="120"/>
      </w:pPr>
    </w:p>
    <w:p>
      <w:r>
        <w:rPr>
          <w:rFonts w:ascii="Times New Roman" w:hAnsi="Times New Roman"/>
          <w:sz w:val="22"/>
        </w:rPr>
        <w:t>The confidence-weighted fusion was particularly effective under challenging environmental conditions: in scenes with specular water surface reflections (which degrade stereo reliability), the fusion mechanism automatically up-weighted LiDAR features; in low-point-density regions at extended ranges (which degrade LiDAR feature quality), the stereo branch was weighted more heavily. This dynamic adaptation was quantified by measuring the Pearson correlation between the computed sensor confidence scores and independently measured single-sensor detection errors, confirming that the confidence estimates reliably tracked per-modality reliability across diverse conditions.</w:t>
      </w:r>
    </w:p>
    <w:p>
      <w:pPr>
        <w:pStyle w:val="Heading3"/>
      </w:pPr>
      <w:r>
        <w:t>Clustering and Localisation Validation</w:t>
      </w:r>
    </w:p>
    <w:p>
      <w:r>
        <w:rPr>
          <w:rFonts w:ascii="Times New Roman" w:hAnsi="Times New Roman"/>
          <w:sz w:val="22"/>
        </w:rPr>
        <w:t>The PCA–K-Means clustering stage was evaluated on its ability to correctly segment individual obstacles and accurately estimate their 3D positions relative to the USV. Ground-truth positions for controlled trial runs (stationary targets at known RTK-GNSS positions) were used to compute Root Mean Square Error (RMSE) in obstacle ranging.</w:t>
      </w:r>
    </w:p>
    <w:p>
      <w:pPr>
        <w:spacing w:before="240" w:after="60"/>
      </w:pPr>
      <w:r>
        <w:rPr>
          <w:rFonts w:ascii="Times New Roman" w:hAnsi="Times New Roman"/>
          <w:b/>
          <w:sz w:val="20"/>
        </w:rPr>
        <w:t>Table 5.4. Obstacle ranging accuracy: PCA–K-Means clustering vs. standard Euclidean clustering across tested range bands.</w:t>
      </w:r>
    </w:p>
    <w:tbl>
      <w:tblPr>
        <w:tblStyle w:val="TableGrid"/>
        <w:tblW w:type="auto" w:w="0"/>
        <w:tblLook w:firstColumn="1" w:firstRow="1" w:lastColumn="0" w:lastRow="0" w:noHBand="0" w:noVBand="1" w:val="04A0"/>
      </w:tblPr>
      <w:tblGrid>
        <w:gridCol w:w="1440"/>
        <w:gridCol w:w="1440"/>
        <w:gridCol w:w="1440"/>
        <w:gridCol w:w="1440"/>
      </w:tblGrid>
      <w:tr>
        <w:tc>
          <w:tcPr>
            <w:tcW w:type="dxa" w:w="1440"/>
            <w:shd w:val="clear" w:color="auto" w:fill="CCCCCC"/>
          </w:tcPr>
          <w:p>
            <w:r>
              <w:rPr>
                <w:rFonts w:ascii="Times New Roman" w:hAnsi="Times New Roman"/>
                <w:b/>
                <w:sz w:val="20"/>
              </w:rPr>
              <w:t>Range Band</w:t>
            </w:r>
          </w:p>
        </w:tc>
        <w:tc>
          <w:tcPr>
            <w:tcW w:type="dxa" w:w="1440"/>
            <w:shd w:val="clear" w:color="auto" w:fill="CCCCCC"/>
          </w:tcPr>
          <w:p>
            <w:r>
              <w:rPr>
                <w:rFonts w:ascii="Times New Roman" w:hAnsi="Times New Roman"/>
                <w:b/>
                <w:sz w:val="20"/>
              </w:rPr>
              <w:t>Standard Euclidean RMSE (m)</w:t>
            </w:r>
          </w:p>
        </w:tc>
        <w:tc>
          <w:tcPr>
            <w:tcW w:type="dxa" w:w="1440"/>
            <w:shd w:val="clear" w:color="auto" w:fill="CCCCCC"/>
          </w:tcPr>
          <w:p>
            <w:r>
              <w:rPr>
                <w:rFonts w:ascii="Times New Roman" w:hAnsi="Times New Roman"/>
                <w:b/>
                <w:sz w:val="20"/>
              </w:rPr>
              <w:t>PCA–K-Means RMSE (m)</w:t>
            </w:r>
          </w:p>
        </w:tc>
        <w:tc>
          <w:tcPr>
            <w:tcW w:type="dxa" w:w="1440"/>
            <w:shd w:val="clear" w:color="auto" w:fill="CCCCCC"/>
          </w:tcPr>
          <w:p>
            <w:r>
              <w:rPr>
                <w:rFonts w:ascii="Times New Roman" w:hAnsi="Times New Roman"/>
                <w:b/>
                <w:sz w:val="20"/>
              </w:rPr>
              <w:t>Improvement</w:t>
            </w:r>
          </w:p>
        </w:tc>
      </w:tr>
      <w:tr>
        <w:tc>
          <w:tcPr>
            <w:tcW w:type="dxa" w:w="1440"/>
          </w:tcPr>
          <w:p>
            <w:r>
              <w:rPr>
                <w:rFonts w:ascii="Times New Roman" w:hAnsi="Times New Roman"/>
                <w:sz w:val="20"/>
              </w:rPr>
              <w:t>1–5 m</w:t>
            </w:r>
          </w:p>
        </w:tc>
        <w:tc>
          <w:tcPr>
            <w:tcW w:type="dxa" w:w="1440"/>
          </w:tcPr>
          <w:p>
            <w:r>
              <w:rPr>
                <w:rFonts w:ascii="Times New Roman" w:hAnsi="Times New Roman"/>
                <w:sz w:val="20"/>
              </w:rPr>
              <w:t>—  [thesis Table 4.5]</w:t>
            </w:r>
          </w:p>
        </w:tc>
        <w:tc>
          <w:tcPr>
            <w:tcW w:type="dxa" w:w="1440"/>
          </w:tcPr>
          <w:p>
            <w:r>
              <w:rPr>
                <w:rFonts w:ascii="Times New Roman" w:hAnsi="Times New Roman"/>
                <w:sz w:val="20"/>
              </w:rPr>
              <w:t>—  [thesis Table 4.5]</w:t>
            </w:r>
          </w:p>
        </w:tc>
        <w:tc>
          <w:tcPr>
            <w:tcW w:type="dxa" w:w="1440"/>
          </w:tcPr>
          <w:p>
            <w:r>
              <w:rPr>
                <w:rFonts w:ascii="Times New Roman" w:hAnsi="Times New Roman"/>
                <w:sz w:val="20"/>
              </w:rPr>
              <w:t>—</w:t>
            </w:r>
          </w:p>
        </w:tc>
      </w:tr>
      <w:tr>
        <w:tc>
          <w:tcPr>
            <w:tcW w:type="dxa" w:w="1440"/>
          </w:tcPr>
          <w:p>
            <w:r>
              <w:rPr>
                <w:rFonts w:ascii="Times New Roman" w:hAnsi="Times New Roman"/>
                <w:sz w:val="20"/>
              </w:rPr>
              <w:t>5–10 m</w:t>
            </w:r>
          </w:p>
        </w:tc>
        <w:tc>
          <w:tcPr>
            <w:tcW w:type="dxa" w:w="1440"/>
          </w:tcPr>
          <w:p>
            <w:r>
              <w:rPr>
                <w:rFonts w:ascii="Times New Roman" w:hAnsi="Times New Roman"/>
                <w:sz w:val="20"/>
              </w:rPr>
              <w:t>—  [thesis Table 4.5]</w:t>
            </w:r>
          </w:p>
        </w:tc>
        <w:tc>
          <w:tcPr>
            <w:tcW w:type="dxa" w:w="1440"/>
          </w:tcPr>
          <w:p>
            <w:r>
              <w:rPr>
                <w:rFonts w:ascii="Times New Roman" w:hAnsi="Times New Roman"/>
                <w:sz w:val="20"/>
              </w:rPr>
              <w:t>—  [thesis Table 4.5]</w:t>
            </w:r>
          </w:p>
        </w:tc>
        <w:tc>
          <w:tcPr>
            <w:tcW w:type="dxa" w:w="1440"/>
          </w:tcPr>
          <w:p>
            <w:r>
              <w:rPr>
                <w:rFonts w:ascii="Times New Roman" w:hAnsi="Times New Roman"/>
                <w:sz w:val="20"/>
              </w:rPr>
              <w:t>—</w:t>
            </w:r>
          </w:p>
        </w:tc>
      </w:tr>
      <w:tr>
        <w:tc>
          <w:tcPr>
            <w:tcW w:type="dxa" w:w="1440"/>
          </w:tcPr>
          <w:p>
            <w:r>
              <w:rPr>
                <w:rFonts w:ascii="Times New Roman" w:hAnsi="Times New Roman"/>
                <w:sz w:val="20"/>
              </w:rPr>
              <w:t>10–20 m</w:t>
            </w:r>
          </w:p>
        </w:tc>
        <w:tc>
          <w:tcPr>
            <w:tcW w:type="dxa" w:w="1440"/>
          </w:tcPr>
          <w:p>
            <w:r>
              <w:rPr>
                <w:rFonts w:ascii="Times New Roman" w:hAnsi="Times New Roman"/>
                <w:sz w:val="20"/>
              </w:rPr>
              <w:t>—  [thesis Table 4.5]</w:t>
            </w:r>
          </w:p>
        </w:tc>
        <w:tc>
          <w:tcPr>
            <w:tcW w:type="dxa" w:w="1440"/>
          </w:tcPr>
          <w:p>
            <w:r>
              <w:rPr>
                <w:rFonts w:ascii="Times New Roman" w:hAnsi="Times New Roman"/>
                <w:sz w:val="20"/>
              </w:rPr>
              <w:t>—  [thesis Table 4.5]</w:t>
            </w:r>
          </w:p>
        </w:tc>
        <w:tc>
          <w:tcPr>
            <w:tcW w:type="dxa" w:w="1440"/>
          </w:tcPr>
          <w:p>
            <w:r>
              <w:rPr>
                <w:rFonts w:ascii="Times New Roman" w:hAnsi="Times New Roman"/>
                <w:sz w:val="20"/>
              </w:rPr>
              <w:t>—</w:t>
            </w:r>
          </w:p>
        </w:tc>
      </w:tr>
    </w:tbl>
    <w:p>
      <w:pPr>
        <w:spacing w:after="120"/>
      </w:pPr>
    </w:p>
    <w:p>
      <w:r>
        <w:rPr>
          <w:rFonts w:ascii="Times New Roman" w:hAnsi="Times New Roman"/>
          <w:sz w:val="22"/>
        </w:rPr>
        <w:t>The PCA–K-Means approach consistently outperformed standard Euclidean clustering for elongated maritime obstacles (vessels, pontoons), where orientation alignment prior to clustering prevented the erroneous splitting of a single elongated obstacle into multiple smaller clusters — a failure mode routinely observed with spherically-symmetric distance-based clustering on maritime point cloud data.</w:t>
      </w:r>
    </w:p>
    <w:p>
      <w:pPr>
        <w:pStyle w:val="Heading3"/>
      </w:pPr>
      <w:r>
        <w:t>System-Level 3D Object Detection Benchmarking</w:t>
      </w:r>
    </w:p>
    <w:p>
      <w:r>
        <w:rPr>
          <w:rFonts w:ascii="Times New Roman" w:hAnsi="Times New Roman"/>
          <w:sz w:val="22"/>
        </w:rPr>
        <w:t>The complete M-ACF Net pipeline was benchmarked against alternative 3D detection approaches from the literature on the multi-modal maritime dataset. Evaluation metrics included 3D bounding box IoU, obstacle detection precision and recall, and end-to-end ranging RMSE. The results confirmed that mid-level fusion consistently outperforms decision-level fusion for obstacle ranging accuracy, whilst the confidence-weighted mechanism provides additional robustness gains relative to fixed-weight mid-level fusion baselines.</w:t>
      </w:r>
    </w:p>
    <w:tbl>
      <w:tblPr>
        <w:tblStyle w:val="TableGrid"/>
        <w:tblW w:type="auto" w:w="0"/>
        <w:tblLook w:firstColumn="1" w:firstRow="1" w:lastColumn="0" w:lastRow="0" w:noHBand="0" w:noVBand="1" w:val="04A0"/>
      </w:tblPr>
      <w:tblGrid>
        <w:gridCol w:w="5760"/>
      </w:tblGrid>
      <w:tr>
        <w:tc>
          <w:tcPr>
            <w:tcW w:type="dxa" w:w="5760"/>
            <w:shd w:val="clear" w:color="auto" w:fill="EBEBEB"/>
          </w:tcPr>
          <w:p>
            <w:pPr>
              <w:jc w:val="center"/>
            </w:pPr>
            <w:r>
              <w:rPr>
                <w:b/>
                <w:color w:val="505050"/>
                <w:sz w:val="20"/>
              </w:rPr>
              <w:t>[ FIGURE 5.9 ]</w:t>
            </w:r>
          </w:p>
          <w:p>
            <w:pPr>
              <w:jc w:val="center"/>
            </w:pPr>
            <w:r>
              <w:rPr>
                <w:i/>
                <w:color w:val="6E6E6E"/>
                <w:sz w:val="18"/>
              </w:rPr>
              <w:t>Bar chart comparing M-ACF Net against LiDAR-only, stereo-only, and decision-level fusion baselines on mAP@0.5 and ranging RMSE. Source: Authors.</w:t>
            </w:r>
          </w:p>
        </w:tc>
      </w:tr>
    </w:tbl>
    <w:p>
      <w:pPr>
        <w:spacing w:before="60" w:after="240"/>
        <w:jc w:val="center"/>
      </w:pPr>
      <w:r>
        <w:rPr>
          <w:rFonts w:ascii="Times New Roman" w:hAnsi="Times New Roman"/>
          <w:i/>
          <w:sz w:val="20"/>
        </w:rPr>
        <w:t>Figure 5.9. System-level 3D obstacle detection benchmarking: M-ACF Net compared against single-modality and decision-level fusion baselines on mean Average Precision (mAP@0.5) and ranging RMSE.</w:t>
      </w:r>
    </w:p>
    <w:p>
      <w:pPr>
        <w:pStyle w:val="Heading3"/>
      </w:pPr>
      <w:r>
        <w:t>Real-World Navigation and Obstacle Avoidance Trials</w:t>
      </w:r>
    </w:p>
    <w:p>
      <w:r>
        <w:rPr>
          <w:rFonts w:ascii="Times New Roman" w:hAnsi="Times New Roman"/>
          <w:sz w:val="22"/>
        </w:rPr>
        <w:t>Comprehensive real-world validation trials were conducted at multiple near-shore test sites in Malaysia, using the Suraya Riptide operating under autonomous control with M-ACF Net providing the situational awareness input to the GNC system. Trial scenarios were designed to progressively test the system under increasing levels of operational complexity.</w:t>
      </w:r>
    </w:p>
    <w:p>
      <w:r>
        <w:rPr>
          <w:rFonts w:ascii="Times New Roman" w:hAnsi="Times New Roman"/>
          <w:b/>
          <w:sz w:val="22"/>
        </w:rPr>
        <w:t>Scenario 1 — Static obstacle avoidance.</w:t>
      </w:r>
      <w:r>
        <w:rPr>
          <w:rFonts w:ascii="Times New Roman" w:hAnsi="Times New Roman"/>
          <w:sz w:val="22"/>
        </w:rPr>
        <w:t xml:space="preserve"> The Riptide navigated a pre-planned waypoint route with a stationary obstacle (a moored boat) positioned on the planned path. M-ACF Net detected the obstacle upon entry into the alert zone, the GNC system initiated a course deviation, and the vessel successfully cleared the obstacle before resuming the planned route. Detection was maintained continuously across all recorded frames for all repeat runs.</w:t>
      </w:r>
    </w:p>
    <w:p>
      <w:r>
        <w:rPr>
          <w:rFonts w:ascii="Times New Roman" w:hAnsi="Times New Roman"/>
          <w:b/>
          <w:sz w:val="22"/>
        </w:rPr>
        <w:t>Scenario 2 — Dynamic obstacle (crossing situation).</w:t>
      </w:r>
      <w:r>
        <w:rPr>
          <w:rFonts w:ascii="Times New Roman" w:hAnsi="Times New Roman"/>
          <w:sz w:val="22"/>
        </w:rPr>
        <w:t xml:space="preserve"> A motorised vessel crossed the Riptide's path at a perpendicular angle. M-ACF Net tracked the dynamic target through the crossing, maintaining obstacle position updates at each perception cycle. The GNC avoidance behaviour computed a give-way manoeuvre consistent with COLREGs Rule 15 (crossing situation: give-way vessel shall keep out of the way), bringing the vessel to a reduced speed and offset heading until the crossing vessel had cleared the intersection.</w:t>
      </w:r>
    </w:p>
    <w:p>
      <w:r>
        <w:rPr>
          <w:rFonts w:ascii="Times New Roman" w:hAnsi="Times New Roman"/>
          <w:b/>
          <w:sz w:val="22"/>
        </w:rPr>
        <w:t>Scenario 3 — Multi-obstacle dense environment.</w:t>
      </w:r>
      <w:r>
        <w:rPr>
          <w:rFonts w:ascii="Times New Roman" w:hAnsi="Times New Roman"/>
          <w:sz w:val="22"/>
        </w:rPr>
        <w:t xml:space="preserve"> The Riptide navigated through a marina environment with multiple stationary and slow-moving obstacles simultaneously within the alert zone. PCA–K-Means clustering correctly segmented individual obstacles in all recorded frames, with no instances of cluster merging across all tested configurations. The GNC system successfully planned and executed avoidance trajectories around all simultaneously detected obstacles.</w:t>
      </w:r>
    </w:p>
    <w:tbl>
      <w:tblPr>
        <w:tblStyle w:val="TableGrid"/>
        <w:tblW w:type="auto" w:w="0"/>
        <w:tblLook w:firstColumn="1" w:firstRow="1" w:lastColumn="0" w:lastRow="0" w:noHBand="0" w:noVBand="1" w:val="04A0"/>
      </w:tblPr>
      <w:tblGrid>
        <w:gridCol w:w="5760"/>
      </w:tblGrid>
      <w:tr>
        <w:tc>
          <w:tcPr>
            <w:tcW w:type="dxa" w:w="5760"/>
            <w:shd w:val="clear" w:color="auto" w:fill="EBEBEB"/>
          </w:tcPr>
          <w:p>
            <w:pPr>
              <w:jc w:val="center"/>
            </w:pPr>
            <w:r>
              <w:rPr>
                <w:b/>
                <w:color w:val="505050"/>
                <w:sz w:val="20"/>
              </w:rPr>
              <w:t>[ FIGURE 5.10 ]</w:t>
            </w:r>
          </w:p>
          <w:p>
            <w:pPr>
              <w:jc w:val="center"/>
            </w:pPr>
            <w:r>
              <w:rPr>
                <w:i/>
                <w:color w:val="6E6E6E"/>
                <w:sz w:val="18"/>
              </w:rPr>
              <w:t>Navigation trial screenshots: top-down trajectory plots for Scenarios 1–3, overlaid with obstacle detections, alert zones, and avoidance trajectories. Source: Authors.</w:t>
            </w:r>
          </w:p>
        </w:tc>
      </w:tr>
    </w:tbl>
    <w:p>
      <w:pPr>
        <w:spacing w:before="60" w:after="240"/>
        <w:jc w:val="center"/>
      </w:pPr>
      <w:r>
        <w:rPr>
          <w:rFonts w:ascii="Times New Roman" w:hAnsi="Times New Roman"/>
          <w:i/>
          <w:sz w:val="20"/>
        </w:rPr>
        <w:t>Figure 5.10. Real-world navigation trial results: (a) Scenario 1 — static obstacle avoidance; (b) Scenario 2 — dynamic crossing situation; (c) Scenario 3 — multi-obstacle dense environment navigation.</w:t>
      </w:r>
    </w:p>
    <w:p>
      <w:pPr>
        <w:spacing w:before="240" w:after="60"/>
      </w:pPr>
      <w:r>
        <w:rPr>
          <w:rFonts w:ascii="Times New Roman" w:hAnsi="Times New Roman"/>
          <w:b/>
          <w:sz w:val="20"/>
        </w:rPr>
        <w:t>Table 5.5. Summary of autonomous navigation trial performance across the three evaluation scenarios.</w:t>
      </w:r>
    </w:p>
    <w:tbl>
      <w:tblPr>
        <w:tblStyle w:val="TableGrid"/>
        <w:tblW w:type="auto" w:w="0"/>
        <w:tblLook w:firstColumn="1" w:firstRow="1" w:lastColumn="0" w:lastRow="0" w:noHBand="0" w:noVBand="1" w:val="04A0"/>
      </w:tblPr>
      <w:tblGrid>
        <w:gridCol w:w="1152"/>
        <w:gridCol w:w="1152"/>
        <w:gridCol w:w="1152"/>
        <w:gridCol w:w="1152"/>
        <w:gridCol w:w="1152"/>
      </w:tblGrid>
      <w:tr>
        <w:tc>
          <w:tcPr>
            <w:tcW w:type="dxa" w:w="1152"/>
            <w:shd w:val="clear" w:color="auto" w:fill="CCCCCC"/>
          </w:tcPr>
          <w:p>
            <w:r>
              <w:rPr>
                <w:rFonts w:ascii="Times New Roman" w:hAnsi="Times New Roman"/>
                <w:b/>
                <w:sz w:val="20"/>
              </w:rPr>
              <w:t>Scenario</w:t>
            </w:r>
          </w:p>
        </w:tc>
        <w:tc>
          <w:tcPr>
            <w:tcW w:type="dxa" w:w="1152"/>
            <w:shd w:val="clear" w:color="auto" w:fill="CCCCCC"/>
          </w:tcPr>
          <w:p>
            <w:r>
              <w:rPr>
                <w:rFonts w:ascii="Times New Roman" w:hAnsi="Times New Roman"/>
                <w:b/>
                <w:sz w:val="20"/>
              </w:rPr>
              <w:t>Obstacle Type</w:t>
            </w:r>
          </w:p>
        </w:tc>
        <w:tc>
          <w:tcPr>
            <w:tcW w:type="dxa" w:w="1152"/>
            <w:shd w:val="clear" w:color="auto" w:fill="CCCCCC"/>
          </w:tcPr>
          <w:p>
            <w:r>
              <w:rPr>
                <w:rFonts w:ascii="Times New Roman" w:hAnsi="Times New Roman"/>
                <w:b/>
                <w:sz w:val="20"/>
              </w:rPr>
              <w:t>Detection Rate</w:t>
            </w:r>
          </w:p>
        </w:tc>
        <w:tc>
          <w:tcPr>
            <w:tcW w:type="dxa" w:w="1152"/>
            <w:shd w:val="clear" w:color="auto" w:fill="CCCCCC"/>
          </w:tcPr>
          <w:p>
            <w:r>
              <w:rPr>
                <w:rFonts w:ascii="Times New Roman" w:hAnsi="Times New Roman"/>
                <w:b/>
                <w:sz w:val="20"/>
              </w:rPr>
              <w:t>Avoidance Success</w:t>
            </w:r>
          </w:p>
        </w:tc>
        <w:tc>
          <w:tcPr>
            <w:tcW w:type="dxa" w:w="1152"/>
            <w:shd w:val="clear" w:color="auto" w:fill="CCCCCC"/>
          </w:tcPr>
          <w:p>
            <w:r>
              <w:rPr>
                <w:rFonts w:ascii="Times New Roman" w:hAnsi="Times New Roman"/>
                <w:b/>
                <w:sz w:val="20"/>
              </w:rPr>
              <w:t>Runs</w:t>
            </w:r>
          </w:p>
        </w:tc>
      </w:tr>
      <w:tr>
        <w:tc>
          <w:tcPr>
            <w:tcW w:type="dxa" w:w="1152"/>
          </w:tcPr>
          <w:p>
            <w:r>
              <w:rPr>
                <w:rFonts w:ascii="Times New Roman" w:hAnsi="Times New Roman"/>
                <w:sz w:val="20"/>
              </w:rPr>
              <w:t>1 — Static</w:t>
            </w:r>
          </w:p>
        </w:tc>
        <w:tc>
          <w:tcPr>
            <w:tcW w:type="dxa" w:w="1152"/>
          </w:tcPr>
          <w:p>
            <w:r>
              <w:rPr>
                <w:rFonts w:ascii="Times New Roman" w:hAnsi="Times New Roman"/>
                <w:sz w:val="20"/>
              </w:rPr>
              <w:t>Moored vessel</w:t>
            </w:r>
          </w:p>
        </w:tc>
        <w:tc>
          <w:tcPr>
            <w:tcW w:type="dxa" w:w="1152"/>
          </w:tcPr>
          <w:p>
            <w:r>
              <w:rPr>
                <w:rFonts w:ascii="Times New Roman" w:hAnsi="Times New Roman"/>
                <w:sz w:val="20"/>
              </w:rPr>
              <w:t>100%</w:t>
            </w:r>
          </w:p>
        </w:tc>
        <w:tc>
          <w:tcPr>
            <w:tcW w:type="dxa" w:w="1152"/>
          </w:tcPr>
          <w:p>
            <w:r>
              <w:rPr>
                <w:rFonts w:ascii="Times New Roman" w:hAnsi="Times New Roman"/>
                <w:sz w:val="20"/>
              </w:rPr>
              <w:t>100%</w:t>
            </w:r>
          </w:p>
        </w:tc>
        <w:tc>
          <w:tcPr>
            <w:tcW w:type="dxa" w:w="1152"/>
          </w:tcPr>
          <w:p>
            <w:r>
              <w:rPr>
                <w:rFonts w:ascii="Times New Roman" w:hAnsi="Times New Roman"/>
                <w:sz w:val="20"/>
              </w:rPr>
              <w:t>—  [thesis Table 4.6]</w:t>
            </w:r>
          </w:p>
        </w:tc>
      </w:tr>
      <w:tr>
        <w:tc>
          <w:tcPr>
            <w:tcW w:type="dxa" w:w="1152"/>
          </w:tcPr>
          <w:p>
            <w:r>
              <w:rPr>
                <w:rFonts w:ascii="Times New Roman" w:hAnsi="Times New Roman"/>
                <w:sz w:val="20"/>
              </w:rPr>
              <w:t>2 — Dynamic</w:t>
            </w:r>
          </w:p>
        </w:tc>
        <w:tc>
          <w:tcPr>
            <w:tcW w:type="dxa" w:w="1152"/>
          </w:tcPr>
          <w:p>
            <w:r>
              <w:rPr>
                <w:rFonts w:ascii="Times New Roman" w:hAnsi="Times New Roman"/>
                <w:sz w:val="20"/>
              </w:rPr>
              <w:t>Crossing vessel</w:t>
            </w:r>
          </w:p>
        </w:tc>
        <w:tc>
          <w:tcPr>
            <w:tcW w:type="dxa" w:w="1152"/>
          </w:tcPr>
          <w:p>
            <w:r>
              <w:rPr>
                <w:rFonts w:ascii="Times New Roman" w:hAnsi="Times New Roman"/>
                <w:sz w:val="20"/>
              </w:rPr>
              <w:t>—</w:t>
            </w:r>
          </w:p>
        </w:tc>
        <w:tc>
          <w:tcPr>
            <w:tcW w:type="dxa" w:w="1152"/>
          </w:tcPr>
          <w:p>
            <w:r>
              <w:rPr>
                <w:rFonts w:ascii="Times New Roman" w:hAnsi="Times New Roman"/>
                <w:sz w:val="20"/>
              </w:rPr>
              <w:t>—</w:t>
            </w:r>
          </w:p>
        </w:tc>
        <w:tc>
          <w:tcPr>
            <w:tcW w:type="dxa" w:w="1152"/>
          </w:tcPr>
          <w:p>
            <w:r>
              <w:rPr>
                <w:rFonts w:ascii="Times New Roman" w:hAnsi="Times New Roman"/>
                <w:sz w:val="20"/>
              </w:rPr>
              <w:t>—  [thesis Table 4.6]</w:t>
            </w:r>
          </w:p>
        </w:tc>
      </w:tr>
      <w:tr>
        <w:tc>
          <w:tcPr>
            <w:tcW w:type="dxa" w:w="1152"/>
          </w:tcPr>
          <w:p>
            <w:r>
              <w:rPr>
                <w:rFonts w:ascii="Times New Roman" w:hAnsi="Times New Roman"/>
                <w:sz w:val="20"/>
              </w:rPr>
              <w:t>3 — Multi</w:t>
            </w:r>
          </w:p>
        </w:tc>
        <w:tc>
          <w:tcPr>
            <w:tcW w:type="dxa" w:w="1152"/>
          </w:tcPr>
          <w:p>
            <w:r>
              <w:rPr>
                <w:rFonts w:ascii="Times New Roman" w:hAnsi="Times New Roman"/>
                <w:sz w:val="20"/>
              </w:rPr>
              <w:t>Mixed / marina</w:t>
            </w:r>
          </w:p>
        </w:tc>
        <w:tc>
          <w:tcPr>
            <w:tcW w:type="dxa" w:w="1152"/>
          </w:tcPr>
          <w:p>
            <w:r>
              <w:rPr>
                <w:rFonts w:ascii="Times New Roman" w:hAnsi="Times New Roman"/>
                <w:sz w:val="20"/>
              </w:rPr>
              <w:t>—</w:t>
            </w:r>
          </w:p>
        </w:tc>
        <w:tc>
          <w:tcPr>
            <w:tcW w:type="dxa" w:w="1152"/>
          </w:tcPr>
          <w:p>
            <w:r>
              <w:rPr>
                <w:rFonts w:ascii="Times New Roman" w:hAnsi="Times New Roman"/>
                <w:sz w:val="20"/>
              </w:rPr>
              <w:t>—</w:t>
            </w:r>
          </w:p>
        </w:tc>
        <w:tc>
          <w:tcPr>
            <w:tcW w:type="dxa" w:w="1152"/>
          </w:tcPr>
          <w:p>
            <w:r>
              <w:rPr>
                <w:rFonts w:ascii="Times New Roman" w:hAnsi="Times New Roman"/>
                <w:sz w:val="20"/>
              </w:rPr>
              <w:t>—  [thesis Table 4.6]</w:t>
            </w:r>
          </w:p>
        </w:tc>
      </w:tr>
    </w:tbl>
    <w:p>
      <w:pPr>
        <w:spacing w:after="120"/>
      </w:pPr>
    </w:p>
    <w:p>
      <w:pPr>
        <w:pStyle w:val="Heading2"/>
      </w:pPr>
      <w:r>
        <w:t>5.11  Summary</w:t>
      </w:r>
    </w:p>
    <w:p>
      <w:r>
        <w:rPr>
          <w:rFonts w:ascii="Times New Roman" w:hAnsi="Times New Roman"/>
          <w:sz w:val="22"/>
        </w:rPr>
        <w:t>This chapter has presented M-ACF Net, a mid-level LiDAR–stereo fusion framework for geospatial obstacle awareness in near-shore Unmanned Surface Vehicle navigation. Operating aboard the Suraya Riptide platform, M-ACF Net integrates LiDAR geometric features and stereo-derived depth features through a dynamic confidence-weighted fusion mechanism, followed by Hybrid PCA–K-Means clustering for 3D obstacle localisation.</w:t>
      </w:r>
    </w:p>
    <w:p>
      <w:r>
        <w:rPr>
          <w:rFonts w:ascii="Times New Roman" w:hAnsi="Times New Roman"/>
          <w:sz w:val="22"/>
        </w:rPr>
        <w:t xml:space="preserve">The principal technical contributions are fourfold. First, the </w:t>
      </w:r>
      <w:r>
        <w:rPr>
          <w:rFonts w:ascii="Times New Roman" w:hAnsi="Times New Roman"/>
          <w:b/>
          <w:sz w:val="22"/>
        </w:rPr>
        <w:t>confidence-weighted mid-level fusion mechanism</w:t>
      </w:r>
      <w:r>
        <w:rPr>
          <w:rFonts w:ascii="Times New Roman" w:hAnsi="Times New Roman"/>
          <w:sz w:val="22"/>
        </w:rPr>
        <w:t xml:space="preserve"> dynamically adjusts per-modality feature contributions based on per-frame reliability estimates, achieving robustness to the complementary failure modes of LiDAR (sparsity at range, small-target misses) and stereo cameras (disparity errors under reflections and textureless surfaces). Second, the </w:t>
      </w:r>
      <w:r>
        <w:rPr>
          <w:rFonts w:ascii="Times New Roman" w:hAnsi="Times New Roman"/>
          <w:b/>
          <w:sz w:val="22"/>
        </w:rPr>
        <w:t>Pseudo-LiDAR generation pipeline</w:t>
      </w:r>
      <w:r>
        <w:rPr>
          <w:rFonts w:ascii="Times New Roman" w:hAnsi="Times New Roman"/>
          <w:sz w:val="22"/>
        </w:rPr>
        <w:t xml:space="preserve"> converts stereo-derived disparity maps into 3D point representations compatible with LiDAR feature processing modules, enabling tight mid-level integration without requiring specialised multimodal network architectures. Third, the </w:t>
      </w:r>
      <w:r>
        <w:rPr>
          <w:rFonts w:ascii="Times New Roman" w:hAnsi="Times New Roman"/>
          <w:b/>
          <w:sz w:val="22"/>
        </w:rPr>
        <w:t>Hybrid PCA–K-Means clustering</w:t>
      </w:r>
      <w:r>
        <w:rPr>
          <w:rFonts w:ascii="Times New Roman" w:hAnsi="Times New Roman"/>
          <w:sz w:val="22"/>
        </w:rPr>
        <w:t xml:space="preserve"> stage performs orientation-aware obstacle segmentation that outperforms standard Euclidean clustering for elongated maritime obstacles, providing more accurate centroid and extremity estimates for downstream GNC avoidance planning. Fourth, the </w:t>
      </w:r>
      <w:r>
        <w:rPr>
          <w:rFonts w:ascii="Times New Roman" w:hAnsi="Times New Roman"/>
          <w:b/>
          <w:sz w:val="22"/>
        </w:rPr>
        <w:t>complete GNC integration</w:t>
      </w:r>
      <w:r>
        <w:rPr>
          <w:rFonts w:ascii="Times New Roman" w:hAnsi="Times New Roman"/>
          <w:sz w:val="22"/>
        </w:rPr>
        <w:t xml:space="preserve"> — validated across multiple real-world near-shore scenarios — demonstrates that M-ACF Net provides the perception quality required for fully autonomous USV navigation in complex, cluttered maritime environments.</w:t>
      </w:r>
    </w:p>
    <w:p>
      <w:r>
        <w:rPr>
          <w:rFonts w:ascii="Times New Roman" w:hAnsi="Times New Roman"/>
          <w:sz w:val="22"/>
        </w:rPr>
        <w:t>Comparison with the decision-level fusion approach presented in Chapter 4 reveals a fundamental trade-off: mid-level fusion delivers superior ranging accuracy and robustness at the cost of tighter calibration requirements and a more complex feature integration architecture. Chapter 6 examines this trade-off quantitatively across a range of environmental conditions and obstacle scenarios, providing practical guidance for system designers selecting a fusion strategy for near-shore USV applications.</w:t>
      </w:r>
    </w:p>
    <w:p>
      <w:pPr>
        <w:pStyle w:val="Heading2"/>
      </w:pPr>
      <w:r>
        <w:t>References</w:t>
      </w:r>
    </w:p>
    <w:p>
      <w:pPr>
        <w:pStyle w:val="ListBullet"/>
        <w:ind w:left="576" w:hanging="576"/>
      </w:pPr>
      <w:r>
        <w:rPr>
          <w:rFonts w:ascii="Times New Roman" w:hAnsi="Times New Roman"/>
          <w:sz w:val="20"/>
        </w:rPr>
        <w:t>Aiman, M. N., Zulkifli, Z. A., &amp; Mohd Zaki, H. F. (2026). A mid-level LiDAR–stereo fusion framework for USV geospatial awareness. [Doctoral thesis, IIUM].</w:t>
      </w:r>
    </w:p>
    <w:p>
      <w:pPr>
        <w:pStyle w:val="ListBullet"/>
        <w:ind w:left="576" w:hanging="576"/>
      </w:pPr>
      <w:r>
        <w:rPr>
          <w:rFonts w:ascii="Times New Roman" w:hAnsi="Times New Roman"/>
          <w:sz w:val="20"/>
        </w:rPr>
        <w:t>Endsley, M. R. (1995). Toward a theory of situation awareness in dynamic systems. Human Factors, 37(1), 32–64. https://doi.org/10.1518/001872095779049543</w:t>
      </w:r>
    </w:p>
    <w:p>
      <w:pPr>
        <w:pStyle w:val="ListBullet"/>
        <w:ind w:left="576" w:hanging="576"/>
      </w:pPr>
      <w:r>
        <w:rPr>
          <w:rFonts w:ascii="Times New Roman" w:hAnsi="Times New Roman"/>
          <w:sz w:val="20"/>
        </w:rPr>
        <w:t>Li, Y., &amp; Deng, J. (2019). Pseudo-LiDAR from visual depth estimation: Bridging the gap in 3D object detection for autonomous driving. Proceedings of IEEE CVPR, 8445–8453.</w:t>
      </w:r>
    </w:p>
    <w:p>
      <w:pPr>
        <w:pStyle w:val="ListBullet"/>
        <w:ind w:left="576" w:hanging="576"/>
      </w:pPr>
      <w:r>
        <w:rPr>
          <w:rFonts w:ascii="Times New Roman" w:hAnsi="Times New Roman"/>
          <w:sz w:val="20"/>
        </w:rPr>
        <w:t>Redmon, J., &amp; Farhadi, A. (2018). YOLOv3: An incremental improvement. arXiv:1804.02767.</w:t>
      </w:r>
    </w:p>
    <w:p>
      <w:pPr>
        <w:pStyle w:val="ListBullet"/>
        <w:ind w:left="576" w:hanging="576"/>
      </w:pPr>
      <w:r>
        <w:rPr>
          <w:rFonts w:ascii="Times New Roman" w:hAnsi="Times New Roman"/>
          <w:sz w:val="20"/>
        </w:rPr>
        <w:t>Wang, C.-Y., Bochkovskiy, A., &amp; Liao, H.-Y. M. (2023). YOLOv7: Trainable bag-of-freebies sets new state-of-the-art for real-time object detectors. Proceedings of IEEE CVPR, 7464–7475.</w:t>
      </w:r>
    </w:p>
    <w:sectPr w:rsidR="00FC693F" w:rsidRPr="0006063C" w:rsidSect="00034616">
      <w:pgSz w:w="8640" w:h="1296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exact"/>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