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Mid-Level LiDAR–Stereo Geospatial Feature Fusion with Adaptive Confidence Weighting: The M-ACF Net Framework</w:t>
      </w:r>
    </w:p>
    <w:p>
      <w:pPr>
        <w:spacing w:after="40"/>
      </w:pPr>
      <w:r>
        <w:rPr>
          <w:b/>
        </w:rPr>
        <w:t>Muhammad Aiman bin Norazaruddin</w:t>
      </w:r>
    </w:p>
    <w:p>
      <w:pPr>
        <w:spacing w:after="240"/>
      </w:pPr>
      <w:r>
        <w:rPr>
          <w:i/>
        </w:rPr>
        <w:t>Kulliyyah of Engineering, International Islamic University Malaysia</w:t>
      </w:r>
    </w:p>
    <w:p>
      <w:pPr>
        <w:pStyle w:val="Heading2"/>
      </w:pPr>
      <w:r>
        <w:t>5.1  Introduction</w:t>
      </w:r>
    </w:p>
    <w:p>
      <w:r>
        <w:rPr>
          <w:rFonts w:ascii="Times New Roman" w:hAnsi="Times New Roman"/>
          <w:sz w:val="22"/>
        </w:rPr>
        <w:t>Near-shore maritime environments present a uniquely demanding context for autonomous surface navigation: water reflections, dynamic background clutter, partial occlusions from pier structures, and rapid scene changes challenge even sophisticated single-modality perception systems. Whilst decision-level fusion — in which each sensor independently generates object detections that are subsequently combined — offers practical modularity and fault-tolerance, it inherently limits the depth of cross-modal information exchange. The approach presented in this chapter addresses this limitation by fusing complementary sensor representations at an intermediate feature level, before final object hypotheses are formed, thereby enabling richer spatial–semantic integration.</w:t>
      </w:r>
    </w:p>
    <w:p>
      <w:r>
        <w:rPr>
          <w:rFonts w:ascii="Times New Roman" w:hAnsi="Times New Roman"/>
          <w:sz w:val="22"/>
        </w:rPr>
        <w:t xml:space="preserve">This chapter presents the </w:t>
      </w:r>
      <w:r>
        <w:rPr>
          <w:rFonts w:ascii="Times New Roman" w:hAnsi="Times New Roman"/>
          <w:b/>
          <w:sz w:val="22"/>
        </w:rPr>
        <w:t>Maritime Adaptive Confidence Fusion Network (M-ACF Net)</w:t>
      </w:r>
      <w:r>
        <w:rPr>
          <w:rFonts w:ascii="Times New Roman" w:hAnsi="Times New Roman"/>
          <w:sz w:val="22"/>
        </w:rPr>
        <w:t>, a mid-level LiDAR–stereo fusion framework designed for geospatial obstacle awareness aboard the Suraya Riptide Unmanned Surface Vehicle (USV). M-ACF Net integrates LiDAR point cloud geometry with stereo-derived visual features through a dynamic confidence-weighted fusion mechanism, followed by a Hybrid PCA–K-Means clustering stage for 3D obstacle localisation. The resulting obstacle state — position, heading, and estimated extent — is transmitted to a custom Guidance, Navigation, and Control (GNC) framework enabling real-time autonomous navigation and collision avoidance.</w:t>
      </w:r>
    </w:p>
    <w:p>
      <w:r>
        <w:rPr>
          <w:rFonts w:ascii="Times New Roman" w:hAnsi="Times New Roman"/>
          <w:sz w:val="22"/>
        </w:rPr>
        <w:t>Key contributions presented in this chapter are: (i) a mid-level confidence-weighted fusion architecture that dynamically adjusts the contribution of LiDAR and stereo features based on per-frame sensor reliability estimates; (ii) a Pseudo-LiDAR generation pipeline that transforms stereo disparity maps into 3D point representations compatible with LiDAR feature spaces; (iii) a Hybrid PCA–K-Means obstacle clustering approach that aligns cluster orientation axes with obstacle heading before performing density-based segmentation; and (iv) a fully integrated GNC system validated across multiple real-world near-shore test environments.</w:t>
      </w:r>
    </w:p>
    <w:p>
      <w:r>
        <w:rPr>
          <w:rFonts w:ascii="Times New Roman" w:hAnsi="Times New Roman"/>
          <w:sz w:val="22"/>
        </w:rPr>
        <w:t>The chapter is organised as follows. Section 5.2 describes the Suraya Riptide platform and its sensor suite. Section 5.3 presents the M-ACF Net architecture and design rationale. Sections 5.4 and 5.5 detail the visual feature extraction (including Pseudo-LiDAR generation) and LiDAR point cloud processing pipelines respectively. Section 5.6 presents the confidence-weighted mid-level fusion mechanism. Section 5.7 describes the PCA–K-Means obstacle clustering stage. Dataset collection is described in Section 5.8, and GNC integration in Section 5.9. Experimental results are presented and discussed in Section 5.10. Section 5.11 concludes with a synthesis of contributions.</w:t>
      </w:r>
    </w:p>
    <w:p>
      <w:pPr>
        <w:pStyle w:val="Heading2"/>
      </w:pPr>
      <w:r>
        <w:t>5.2  The Suraya Riptide Platform and Sensor Configuration</w:t>
      </w:r>
    </w:p>
    <w:p>
      <w:pPr>
        <w:pStyle w:val="Heading3"/>
      </w:pPr>
      <w:r>
        <w:t>Platform Configuration and Operational Context</w:t>
      </w:r>
    </w:p>
    <w:p>
      <w:r>
        <w:rPr>
          <w:rFonts w:ascii="Times New Roman" w:hAnsi="Times New Roman"/>
          <w:sz w:val="22"/>
        </w:rPr>
        <w:t xml:space="preserve">The Suraya Riptide is a 1.33-metre trimaran USV developed at the Centre for Unmanned Technologies (CUTe), International Islamic University Malaysia (IIUM). The trimaran hull configuration — a central fiberglass hull flanked by two supplemental buoyancy pontoons connected via aluminium cross-members — provides a stable sensor mounting platform capable of operating in wave heights up to 0.5 m, characteristic of Malaysian near-shore and inland waterway conditions. Despite its compact footprint, the Riptide's deck accommodates a full multimodal sensor suite, the onboard </w:t>
      </w:r>
      <w:r>
        <w:rPr>
          <w:rFonts w:ascii="Times New Roman" w:hAnsi="Times New Roman"/>
          <w:b/>
          <w:sz w:val="22"/>
        </w:rPr>
        <w:t>NVIDIA Jetson Orin NX</w:t>
      </w:r>
      <w:r>
        <w:rPr>
          <w:rFonts w:ascii="Times New Roman" w:hAnsi="Times New Roman"/>
          <w:sz w:val="22"/>
        </w:rPr>
        <w:t xml:space="preserve"> computing unit, and all communication hardware required for autonomous mission execution.</w:t>
      </w:r>
    </w:p>
    <w:p>
      <w:r>
        <w:rPr>
          <w:rFonts w:ascii="Times New Roman" w:hAnsi="Times New Roman"/>
          <w:sz w:val="22"/>
        </w:rPr>
        <w:t>The Jetson Orin NX (16 GB LPDDR5 at 68.3 GB/s) provides up to 100 TOPS of AI inference throughput through its 1,024-core Ampere GPU, with a power envelope of 10–25 W suitable for battery-constrained USV operation. This platform was selected specifically to support real-time execution of the M-ACF Net perception pipeline — including YOLOv8 inference, point cloud processing, deep-learning-based disparity estimation, and confidence-weighted fusion — at operationally relevant frame rates without active cooling.</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5.1 ]</w:t>
            </w:r>
          </w:p>
          <w:p>
            <w:pPr>
              <w:jc w:val="center"/>
            </w:pPr>
            <w:r>
              <w:rPr>
                <w:i/>
                <w:color w:val="6E6E6E"/>
                <w:sz w:val="18"/>
              </w:rPr>
              <w:t>Photograph of the Suraya Riptide trimaran USV with sensor suite annotated (LiDAR, ZED 2i stereo camera, GNSS, INS). Adapt from thesis platform photographs. Source: Authors.</w:t>
            </w:r>
          </w:p>
        </w:tc>
      </w:tr>
    </w:tbl>
    <w:p>
      <w:pPr>
        <w:spacing w:before="60" w:after="240"/>
        <w:jc w:val="center"/>
      </w:pPr>
      <w:r>
        <w:rPr>
          <w:rFonts w:ascii="Times New Roman" w:hAnsi="Times New Roman"/>
          <w:i/>
          <w:sz w:val="20"/>
        </w:rPr>
        <w:t>Figure 5.1. The Suraya Riptide trimaran USV, showing the co-mounted Velodyne HDL-32E LiDAR and Stereolabs ZED 2i stereo camera on the forward sensor mast, alongside the navigation sensor cluster amidships.</w:t>
      </w:r>
    </w:p>
    <w:p>
      <w:pPr>
        <w:pStyle w:val="Heading3"/>
      </w:pPr>
      <w:r>
        <w:t>Navigation and Perception Sensor Modules</w:t>
      </w:r>
    </w:p>
    <w:p>
      <w:r>
        <w:rPr>
          <w:rFonts w:ascii="Times New Roman" w:hAnsi="Times New Roman"/>
          <w:sz w:val="22"/>
        </w:rPr>
        <w:t>The Suraya Riptide integrates five sensor modules: three navigation sensors providing the vessel's absolute state, and two perception sensors furnishing the multimodal environmental data processed by M-ACF Net.</w:t>
      </w:r>
    </w:p>
    <w:p>
      <w:r>
        <w:rPr>
          <w:rFonts w:ascii="Times New Roman" w:hAnsi="Times New Roman"/>
          <w:b/>
          <w:sz w:val="22"/>
        </w:rPr>
        <w:t>RTK-GNSS (M1G2 Portable Heading Solution).</w:t>
      </w:r>
      <w:r>
        <w:rPr>
          <w:rFonts w:ascii="Times New Roman" w:hAnsi="Times New Roman"/>
          <w:sz w:val="22"/>
        </w:rPr>
        <w:t xml:space="preserve"> The M1G2 provides real-time kinematic-corrected position and heading fixes at 10 Hz, with horizontal accuracy of ±(8 mm + 1 ppm) under RTK correction. Operating at 5 W from a 12 V supply, the receiver supplies the georeferenced positional data used to project obstacle estimates into the global navigation frame for mission planning.</w:t>
      </w:r>
    </w:p>
    <w:p>
      <w:r>
        <w:rPr>
          <w:rFonts w:ascii="Times New Roman" w:hAnsi="Times New Roman"/>
          <w:b/>
          <w:sz w:val="22"/>
        </w:rPr>
        <w:t>Inertial Navigation System (SBG Ellipse-E).</w:t>
      </w:r>
      <w:r>
        <w:rPr>
          <w:rFonts w:ascii="Times New Roman" w:hAnsi="Times New Roman"/>
          <w:sz w:val="22"/>
        </w:rPr>
        <w:t xml:space="preserve"> The Ellipse-E provides fused roll/pitch accuracy of ±0.1°, heave estimation to 5 cm at 0.2 Hz, and a 2-minute static alignment time. Its high-rate inertial outputs are used for motion compensation during point cloud and stereo frame processing, ensuring that sensor-frame obstacle estimates remain accurate under wave-induced motion.</w:t>
      </w:r>
    </w:p>
    <w:p>
      <w:r>
        <w:rPr>
          <w:rFonts w:ascii="Times New Roman" w:hAnsi="Times New Roman"/>
          <w:b/>
          <w:sz w:val="22"/>
        </w:rPr>
        <w:t>Electronic Compass (KVH C100).</w:t>
      </w:r>
      <w:r>
        <w:rPr>
          <w:rFonts w:ascii="Times New Roman" w:hAnsi="Times New Roman"/>
          <w:sz w:val="22"/>
        </w:rPr>
        <w:t xml:space="preserve"> The C100 provides absolute heading at 20 Hz with ±0.5° RMS accuracy and a ±40° operational tilt range, supplying the magnetic heading reference used by the GNC coordinate transformation module.</w:t>
      </w:r>
    </w:p>
    <w:p>
      <w:r>
        <w:rPr>
          <w:rFonts w:ascii="Times New Roman" w:hAnsi="Times New Roman"/>
          <w:b/>
          <w:sz w:val="22"/>
        </w:rPr>
        <w:t>Stereo Camera (Stereolabs ZED 2i).</w:t>
      </w:r>
      <w:r>
        <w:rPr>
          <w:rFonts w:ascii="Times New Roman" w:hAnsi="Times New Roman"/>
          <w:sz w:val="22"/>
        </w:rPr>
        <w:t xml:space="preserve"> The ZED 2i captures synchronised stereo image pairs at 4,416 × 1,242 pixels and 20 Hz, with a 65 mm stereo baseline and a 90° × 60° field of view. Its integrated stereo matching firmware provides dense depth maps at 1,280 × 720 resolution. In M-ACF Net, the ZED 2i supplies both the RGB image stream for YOLOv8 object detection and the left–right image pair from which deep-learning-based disparity estimation generates the Pseudo-LiDAR representation used in mid-level fusion.</w:t>
      </w:r>
    </w:p>
    <w:p>
      <w:r>
        <w:rPr>
          <w:rFonts w:ascii="Times New Roman" w:hAnsi="Times New Roman"/>
          <w:b/>
          <w:sz w:val="22"/>
        </w:rPr>
        <w:t>LiDAR (Velodyne HDL-32E).</w:t>
      </w:r>
      <w:r>
        <w:rPr>
          <w:rFonts w:ascii="Times New Roman" w:hAnsi="Times New Roman"/>
          <w:sz w:val="22"/>
        </w:rPr>
        <w:t xml:space="preserve"> The HDL-32E fires 32 laser channels at a rotation rate of 10 Hz, generating approximately 700,000 points per second across a 360° horizontal field of view. Range accuracy is ±2 cm at distances up to 50 m, providing the high-precision spatial measurements that constitute the LiDAR branch of the M-ACF Net fusion pipeline.</w:t>
      </w:r>
    </w:p>
    <w:p>
      <w:pPr>
        <w:spacing w:before="240" w:after="60"/>
      </w:pPr>
      <w:r>
        <w:rPr>
          <w:rFonts w:ascii="Times New Roman" w:hAnsi="Times New Roman"/>
          <w:b/>
          <w:sz w:val="20"/>
        </w:rPr>
        <w:t>Table 5.1. Sensor suite of the Suraya Riptide USV with key specifications.</w:t>
      </w: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Module</w:t>
            </w:r>
          </w:p>
        </w:tc>
        <w:tc>
          <w:tcPr>
            <w:tcW w:type="dxa" w:w="1440"/>
            <w:shd w:val="clear" w:color="auto" w:fill="CCCCCC"/>
          </w:tcPr>
          <w:p>
            <w:r>
              <w:rPr>
                <w:rFonts w:ascii="Times New Roman" w:hAnsi="Times New Roman"/>
                <w:b/>
                <w:sz w:val="20"/>
              </w:rPr>
              <w:t>Model</w:t>
            </w:r>
          </w:p>
        </w:tc>
        <w:tc>
          <w:tcPr>
            <w:tcW w:type="dxa" w:w="1440"/>
            <w:shd w:val="clear" w:color="auto" w:fill="CCCCCC"/>
          </w:tcPr>
          <w:p>
            <w:r>
              <w:rPr>
                <w:rFonts w:ascii="Times New Roman" w:hAnsi="Times New Roman"/>
                <w:b/>
                <w:sz w:val="20"/>
              </w:rPr>
              <w:t>Key Specification</w:t>
            </w:r>
          </w:p>
        </w:tc>
        <w:tc>
          <w:tcPr>
            <w:tcW w:type="dxa" w:w="1440"/>
            <w:shd w:val="clear" w:color="auto" w:fill="CCCCCC"/>
          </w:tcPr>
          <w:p>
            <w:r>
              <w:rPr>
                <w:rFonts w:ascii="Times New Roman" w:hAnsi="Times New Roman"/>
                <w:b/>
                <w:sz w:val="20"/>
              </w:rPr>
              <w:t>Role in M-ACF Net</w:t>
            </w:r>
          </w:p>
        </w:tc>
      </w:tr>
      <w:tr>
        <w:tc>
          <w:tcPr>
            <w:tcW w:type="dxa" w:w="1440"/>
          </w:tcPr>
          <w:p>
            <w:r>
              <w:rPr>
                <w:rFonts w:ascii="Times New Roman" w:hAnsi="Times New Roman"/>
                <w:sz w:val="20"/>
              </w:rPr>
              <w:t>Computing</w:t>
            </w:r>
          </w:p>
        </w:tc>
        <w:tc>
          <w:tcPr>
            <w:tcW w:type="dxa" w:w="1440"/>
          </w:tcPr>
          <w:p>
            <w:r>
              <w:rPr>
                <w:rFonts w:ascii="Times New Roman" w:hAnsi="Times New Roman"/>
                <w:sz w:val="20"/>
              </w:rPr>
              <w:t>NVIDIA Jetson Orin NX 16 GB</w:t>
            </w:r>
          </w:p>
        </w:tc>
        <w:tc>
          <w:tcPr>
            <w:tcW w:type="dxa" w:w="1440"/>
          </w:tcPr>
          <w:p>
            <w:r>
              <w:rPr>
                <w:rFonts w:ascii="Times New Roman" w:hAnsi="Times New Roman"/>
                <w:sz w:val="20"/>
              </w:rPr>
              <w:t>1024-core Ampere GPU; 100 TOPS; 10–25 W</w:t>
            </w:r>
          </w:p>
        </w:tc>
        <w:tc>
          <w:tcPr>
            <w:tcW w:type="dxa" w:w="1440"/>
          </w:tcPr>
          <w:p>
            <w:r>
              <w:rPr>
                <w:rFonts w:ascii="Times New Roman" w:hAnsi="Times New Roman"/>
                <w:sz w:val="20"/>
              </w:rPr>
              <w:t>Real-time inference host</w:t>
            </w:r>
          </w:p>
        </w:tc>
      </w:tr>
      <w:tr>
        <w:tc>
          <w:tcPr>
            <w:tcW w:type="dxa" w:w="1440"/>
          </w:tcPr>
          <w:p>
            <w:r>
              <w:rPr>
                <w:rFonts w:ascii="Times New Roman" w:hAnsi="Times New Roman"/>
                <w:sz w:val="20"/>
              </w:rPr>
              <w:t>LiDAR</w:t>
            </w:r>
          </w:p>
        </w:tc>
        <w:tc>
          <w:tcPr>
            <w:tcW w:type="dxa" w:w="1440"/>
          </w:tcPr>
          <w:p>
            <w:r>
              <w:rPr>
                <w:rFonts w:ascii="Times New Roman" w:hAnsi="Times New Roman"/>
                <w:sz w:val="20"/>
              </w:rPr>
              <w:t>Velodyne HDL-32E</w:t>
            </w:r>
          </w:p>
        </w:tc>
        <w:tc>
          <w:tcPr>
            <w:tcW w:type="dxa" w:w="1440"/>
          </w:tcPr>
          <w:p>
            <w:r>
              <w:rPr>
                <w:rFonts w:ascii="Times New Roman" w:hAnsi="Times New Roman"/>
                <w:sz w:val="20"/>
              </w:rPr>
              <w:t>32 ch; 10 Hz; ±2 cm @ 50 m; ~700k pts/s</w:t>
            </w:r>
          </w:p>
        </w:tc>
        <w:tc>
          <w:tcPr>
            <w:tcW w:type="dxa" w:w="1440"/>
          </w:tcPr>
          <w:p>
            <w:r>
              <w:rPr>
                <w:rFonts w:ascii="Times New Roman" w:hAnsi="Times New Roman"/>
                <w:sz w:val="20"/>
              </w:rPr>
              <w:t>Geometric feature branch</w:t>
            </w:r>
          </w:p>
        </w:tc>
      </w:tr>
      <w:tr>
        <w:tc>
          <w:tcPr>
            <w:tcW w:type="dxa" w:w="1440"/>
          </w:tcPr>
          <w:p>
            <w:r>
              <w:rPr>
                <w:rFonts w:ascii="Times New Roman" w:hAnsi="Times New Roman"/>
                <w:sz w:val="20"/>
              </w:rPr>
              <w:t>Stereo Camera</w:t>
            </w:r>
          </w:p>
        </w:tc>
        <w:tc>
          <w:tcPr>
            <w:tcW w:type="dxa" w:w="1440"/>
          </w:tcPr>
          <w:p>
            <w:r>
              <w:rPr>
                <w:rFonts w:ascii="Times New Roman" w:hAnsi="Times New Roman"/>
                <w:sz w:val="20"/>
              </w:rPr>
              <w:t>Stereolabs ZED 2i</w:t>
            </w:r>
          </w:p>
        </w:tc>
        <w:tc>
          <w:tcPr>
            <w:tcW w:type="dxa" w:w="1440"/>
          </w:tcPr>
          <w:p>
            <w:r>
              <w:rPr>
                <w:rFonts w:ascii="Times New Roman" w:hAnsi="Times New Roman"/>
                <w:sz w:val="20"/>
              </w:rPr>
              <w:t>4416×1242 @ 20 Hz; 65 mm baseline; 90°×60° FoV</w:t>
            </w:r>
          </w:p>
        </w:tc>
        <w:tc>
          <w:tcPr>
            <w:tcW w:type="dxa" w:w="1440"/>
          </w:tcPr>
          <w:p>
            <w:r>
              <w:rPr>
                <w:rFonts w:ascii="Times New Roman" w:hAnsi="Times New Roman"/>
                <w:sz w:val="20"/>
              </w:rPr>
              <w:t>Visual/depth feature branch</w:t>
            </w:r>
          </w:p>
        </w:tc>
      </w:tr>
      <w:tr>
        <w:tc>
          <w:tcPr>
            <w:tcW w:type="dxa" w:w="1440"/>
          </w:tcPr>
          <w:p>
            <w:r>
              <w:rPr>
                <w:rFonts w:ascii="Times New Roman" w:hAnsi="Times New Roman"/>
                <w:sz w:val="20"/>
              </w:rPr>
              <w:t>RTK-GNSS</w:t>
            </w:r>
          </w:p>
        </w:tc>
        <w:tc>
          <w:tcPr>
            <w:tcW w:type="dxa" w:w="1440"/>
          </w:tcPr>
          <w:p>
            <w:r>
              <w:rPr>
                <w:rFonts w:ascii="Times New Roman" w:hAnsi="Times New Roman"/>
                <w:sz w:val="20"/>
              </w:rPr>
              <w:t>M1G2 Portable Heading Solution</w:t>
            </w:r>
          </w:p>
        </w:tc>
        <w:tc>
          <w:tcPr>
            <w:tcW w:type="dxa" w:w="1440"/>
          </w:tcPr>
          <w:p>
            <w:r>
              <w:rPr>
                <w:rFonts w:ascii="Times New Roman" w:hAnsi="Times New Roman"/>
                <w:sz w:val="20"/>
              </w:rPr>
              <w:t>10 Hz; ±(8 mm + 1 ppm) RTK; 5 W</w:t>
            </w:r>
          </w:p>
        </w:tc>
        <w:tc>
          <w:tcPr>
            <w:tcW w:type="dxa" w:w="1440"/>
          </w:tcPr>
          <w:p>
            <w:r>
              <w:rPr>
                <w:rFonts w:ascii="Times New Roman" w:hAnsi="Times New Roman"/>
                <w:sz w:val="20"/>
              </w:rPr>
              <w:t>Global georeferencing</w:t>
            </w:r>
          </w:p>
        </w:tc>
      </w:tr>
      <w:tr>
        <w:tc>
          <w:tcPr>
            <w:tcW w:type="dxa" w:w="1440"/>
          </w:tcPr>
          <w:p>
            <w:r>
              <w:rPr>
                <w:rFonts w:ascii="Times New Roman" w:hAnsi="Times New Roman"/>
                <w:sz w:val="20"/>
              </w:rPr>
              <w:t>INS</w:t>
            </w:r>
          </w:p>
        </w:tc>
        <w:tc>
          <w:tcPr>
            <w:tcW w:type="dxa" w:w="1440"/>
          </w:tcPr>
          <w:p>
            <w:r>
              <w:rPr>
                <w:rFonts w:ascii="Times New Roman" w:hAnsi="Times New Roman"/>
                <w:sz w:val="20"/>
              </w:rPr>
              <w:t>SBG Ellipse-E</w:t>
            </w:r>
          </w:p>
        </w:tc>
        <w:tc>
          <w:tcPr>
            <w:tcW w:type="dxa" w:w="1440"/>
          </w:tcPr>
          <w:p>
            <w:r>
              <w:rPr>
                <w:rFonts w:ascii="Times New Roman" w:hAnsi="Times New Roman"/>
                <w:sz w:val="20"/>
              </w:rPr>
              <w:t>±0.1° roll/pitch; 5 cm heave; 2 min align</w:t>
            </w:r>
          </w:p>
        </w:tc>
        <w:tc>
          <w:tcPr>
            <w:tcW w:type="dxa" w:w="1440"/>
          </w:tcPr>
          <w:p>
            <w:r>
              <w:rPr>
                <w:rFonts w:ascii="Times New Roman" w:hAnsi="Times New Roman"/>
                <w:sz w:val="20"/>
              </w:rPr>
              <w:t>Motion compensation</w:t>
            </w:r>
          </w:p>
        </w:tc>
      </w:tr>
      <w:tr>
        <w:tc>
          <w:tcPr>
            <w:tcW w:type="dxa" w:w="1440"/>
          </w:tcPr>
          <w:p>
            <w:r>
              <w:rPr>
                <w:rFonts w:ascii="Times New Roman" w:hAnsi="Times New Roman"/>
                <w:sz w:val="20"/>
              </w:rPr>
              <w:t>Compass</w:t>
            </w:r>
          </w:p>
        </w:tc>
        <w:tc>
          <w:tcPr>
            <w:tcW w:type="dxa" w:w="1440"/>
          </w:tcPr>
          <w:p>
            <w:r>
              <w:rPr>
                <w:rFonts w:ascii="Times New Roman" w:hAnsi="Times New Roman"/>
                <w:sz w:val="20"/>
              </w:rPr>
              <w:t>KVH C100</w:t>
            </w:r>
          </w:p>
        </w:tc>
        <w:tc>
          <w:tcPr>
            <w:tcW w:type="dxa" w:w="1440"/>
          </w:tcPr>
          <w:p>
            <w:r>
              <w:rPr>
                <w:rFonts w:ascii="Times New Roman" w:hAnsi="Times New Roman"/>
                <w:sz w:val="20"/>
              </w:rPr>
              <w:t>±0.5° RMS; 20 Hz; ±40° tilt range</w:t>
            </w:r>
          </w:p>
        </w:tc>
        <w:tc>
          <w:tcPr>
            <w:tcW w:type="dxa" w:w="1440"/>
          </w:tcPr>
          <w:p>
            <w:r>
              <w:rPr>
                <w:rFonts w:ascii="Times New Roman" w:hAnsi="Times New Roman"/>
                <w:sz w:val="20"/>
              </w:rPr>
              <w:t>Heading reference</w:t>
            </w:r>
          </w:p>
        </w:tc>
      </w:tr>
    </w:tbl>
    <w:p>
      <w:pPr>
        <w:spacing w:after="120"/>
      </w:pPr>
    </w:p>
    <w:p>
      <w:pPr>
        <w:pStyle w:val="Heading3"/>
      </w:pPr>
      <w:r>
        <w:t>Sensor Placement, Calibration, and Synchronisation</w:t>
      </w:r>
    </w:p>
    <w:p>
      <w:r>
        <w:rPr>
          <w:rFonts w:ascii="Times New Roman" w:hAnsi="Times New Roman"/>
          <w:sz w:val="22"/>
        </w:rPr>
        <w:t>All navigational sensors (GNSS, INS, compass) are positioned along the hull's centreline, close to the vessel's centre of gravity, to minimise the lever-arm corrections required for accurate dynamic measurements. The perception sensors — LiDAR and stereo camera — are co-mounted on a rigid steel mast at the vessel's bow to maximise forward-hemisphere overlap and minimise mutual occlusion. Table 5.2 records the measured translation offsets of each sensor frame relative to the vessel body frame origin (F_base), with all axes aligned to the vessel centreline (yaw = pitch = roll = 0° for all sensors).</w:t>
      </w:r>
    </w:p>
    <w:p>
      <w:pPr>
        <w:spacing w:before="240" w:after="60"/>
      </w:pPr>
      <w:r>
        <w:rPr>
          <w:rFonts w:ascii="Times New Roman" w:hAnsi="Times New Roman"/>
          <w:b/>
          <w:sz w:val="20"/>
        </w:rPr>
        <w:t>Table 5.2. Sensor coordinate frame translation offsets relative to the vessel body frame origin (metres; yaw = pitch = roll = 0° for all sensors).</w:t>
      </w: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Sensor Frame</w:t>
            </w:r>
          </w:p>
        </w:tc>
        <w:tc>
          <w:tcPr>
            <w:tcW w:type="dxa" w:w="1440"/>
            <w:shd w:val="clear" w:color="auto" w:fill="CCCCCC"/>
          </w:tcPr>
          <w:p>
            <w:r>
              <w:rPr>
                <w:rFonts w:ascii="Times New Roman" w:hAnsi="Times New Roman"/>
                <w:b/>
                <w:sz w:val="20"/>
              </w:rPr>
              <w:t>p_x (m)</w:t>
            </w:r>
          </w:p>
        </w:tc>
        <w:tc>
          <w:tcPr>
            <w:tcW w:type="dxa" w:w="1440"/>
            <w:shd w:val="clear" w:color="auto" w:fill="CCCCCC"/>
          </w:tcPr>
          <w:p>
            <w:r>
              <w:rPr>
                <w:rFonts w:ascii="Times New Roman" w:hAnsi="Times New Roman"/>
                <w:b/>
                <w:sz w:val="20"/>
              </w:rPr>
              <w:t>p_y (m)</w:t>
            </w:r>
          </w:p>
        </w:tc>
        <w:tc>
          <w:tcPr>
            <w:tcW w:type="dxa" w:w="1440"/>
            <w:shd w:val="clear" w:color="auto" w:fill="CCCCCC"/>
          </w:tcPr>
          <w:p>
            <w:r>
              <w:rPr>
                <w:rFonts w:ascii="Times New Roman" w:hAnsi="Times New Roman"/>
                <w:b/>
                <w:sz w:val="20"/>
              </w:rPr>
              <w:t>p_z (m)</w:t>
            </w:r>
          </w:p>
        </w:tc>
      </w:tr>
      <w:tr>
        <w:tc>
          <w:tcPr>
            <w:tcW w:type="dxa" w:w="1440"/>
          </w:tcPr>
          <w:p>
            <w:r>
              <w:rPr>
                <w:rFonts w:ascii="Times New Roman" w:hAnsi="Times New Roman"/>
                <w:sz w:val="20"/>
              </w:rPr>
              <w:t>F_GNSS</w:t>
            </w:r>
          </w:p>
        </w:tc>
        <w:tc>
          <w:tcPr>
            <w:tcW w:type="dxa" w:w="1440"/>
          </w:tcPr>
          <w:p>
            <w:r>
              <w:rPr>
                <w:rFonts w:ascii="Times New Roman" w:hAnsi="Times New Roman"/>
                <w:sz w:val="20"/>
              </w:rPr>
              <w:t>0</w:t>
            </w:r>
          </w:p>
        </w:tc>
        <w:tc>
          <w:tcPr>
            <w:tcW w:type="dxa" w:w="1440"/>
          </w:tcPr>
          <w:p>
            <w:r>
              <w:rPr>
                <w:rFonts w:ascii="Times New Roman" w:hAnsi="Times New Roman"/>
                <w:sz w:val="20"/>
              </w:rPr>
              <w:t>0.38</w:t>
            </w:r>
          </w:p>
        </w:tc>
        <w:tc>
          <w:tcPr>
            <w:tcW w:type="dxa" w:w="1440"/>
          </w:tcPr>
          <w:p>
            <w:r>
              <w:rPr>
                <w:rFonts w:ascii="Times New Roman" w:hAnsi="Times New Roman"/>
                <w:sz w:val="20"/>
              </w:rPr>
              <w:t>−0.09</w:t>
            </w:r>
          </w:p>
        </w:tc>
      </w:tr>
      <w:tr>
        <w:tc>
          <w:tcPr>
            <w:tcW w:type="dxa" w:w="1440"/>
          </w:tcPr>
          <w:p>
            <w:r>
              <w:rPr>
                <w:rFonts w:ascii="Times New Roman" w:hAnsi="Times New Roman"/>
                <w:sz w:val="20"/>
              </w:rPr>
              <w:t>F_INS</w:t>
            </w:r>
          </w:p>
        </w:tc>
        <w:tc>
          <w:tcPr>
            <w:tcW w:type="dxa" w:w="1440"/>
          </w:tcPr>
          <w:p>
            <w:r>
              <w:rPr>
                <w:rFonts w:ascii="Times New Roman" w:hAnsi="Times New Roman"/>
                <w:sz w:val="20"/>
              </w:rPr>
              <w:t>0</w:t>
            </w:r>
          </w:p>
        </w:tc>
        <w:tc>
          <w:tcPr>
            <w:tcW w:type="dxa" w:w="1440"/>
          </w:tcPr>
          <w:p>
            <w:r>
              <w:rPr>
                <w:rFonts w:ascii="Times New Roman" w:hAnsi="Times New Roman"/>
                <w:sz w:val="20"/>
              </w:rPr>
              <w:t>−0.30</w:t>
            </w:r>
          </w:p>
        </w:tc>
        <w:tc>
          <w:tcPr>
            <w:tcW w:type="dxa" w:w="1440"/>
          </w:tcPr>
          <w:p>
            <w:r>
              <w:rPr>
                <w:rFonts w:ascii="Times New Roman" w:hAnsi="Times New Roman"/>
                <w:sz w:val="20"/>
              </w:rPr>
              <w:t>0.06</w:t>
            </w:r>
          </w:p>
        </w:tc>
      </w:tr>
      <w:tr>
        <w:tc>
          <w:tcPr>
            <w:tcW w:type="dxa" w:w="1440"/>
          </w:tcPr>
          <w:p>
            <w:r>
              <w:rPr>
                <w:rFonts w:ascii="Times New Roman" w:hAnsi="Times New Roman"/>
                <w:sz w:val="20"/>
              </w:rPr>
              <w:t>F_LiDAR</w:t>
            </w:r>
          </w:p>
        </w:tc>
        <w:tc>
          <w:tcPr>
            <w:tcW w:type="dxa" w:w="1440"/>
          </w:tcPr>
          <w:p>
            <w:r>
              <w:rPr>
                <w:rFonts w:ascii="Times New Roman" w:hAnsi="Times New Roman"/>
                <w:sz w:val="20"/>
              </w:rPr>
              <w:t>0</w:t>
            </w:r>
          </w:p>
        </w:tc>
        <w:tc>
          <w:tcPr>
            <w:tcW w:type="dxa" w:w="1440"/>
          </w:tcPr>
          <w:p>
            <w:r>
              <w:rPr>
                <w:rFonts w:ascii="Times New Roman" w:hAnsi="Times New Roman"/>
                <w:sz w:val="20"/>
              </w:rPr>
              <w:t>0.66</w:t>
            </w:r>
          </w:p>
        </w:tc>
        <w:tc>
          <w:tcPr>
            <w:tcW w:type="dxa" w:w="1440"/>
          </w:tcPr>
          <w:p>
            <w:r>
              <w:rPr>
                <w:rFonts w:ascii="Times New Roman" w:hAnsi="Times New Roman"/>
                <w:sz w:val="20"/>
              </w:rPr>
              <w:t>0.43</w:t>
            </w:r>
          </w:p>
        </w:tc>
      </w:tr>
      <w:tr>
        <w:tc>
          <w:tcPr>
            <w:tcW w:type="dxa" w:w="1440"/>
          </w:tcPr>
          <w:p>
            <w:r>
              <w:rPr>
                <w:rFonts w:ascii="Times New Roman" w:hAnsi="Times New Roman"/>
                <w:sz w:val="20"/>
              </w:rPr>
              <w:t>F_Camera</w:t>
            </w:r>
          </w:p>
        </w:tc>
        <w:tc>
          <w:tcPr>
            <w:tcW w:type="dxa" w:w="1440"/>
          </w:tcPr>
          <w:p>
            <w:r>
              <w:rPr>
                <w:rFonts w:ascii="Times New Roman" w:hAnsi="Times New Roman"/>
                <w:sz w:val="20"/>
              </w:rPr>
              <w:t>0</w:t>
            </w:r>
          </w:p>
        </w:tc>
        <w:tc>
          <w:tcPr>
            <w:tcW w:type="dxa" w:w="1440"/>
          </w:tcPr>
          <w:p>
            <w:r>
              <w:rPr>
                <w:rFonts w:ascii="Times New Roman" w:hAnsi="Times New Roman"/>
                <w:sz w:val="20"/>
              </w:rPr>
              <w:t>0.66</w:t>
            </w:r>
          </w:p>
        </w:tc>
        <w:tc>
          <w:tcPr>
            <w:tcW w:type="dxa" w:w="1440"/>
          </w:tcPr>
          <w:p>
            <w:r>
              <w:rPr>
                <w:rFonts w:ascii="Times New Roman" w:hAnsi="Times New Roman"/>
                <w:sz w:val="20"/>
              </w:rPr>
              <w:t>0.26</w:t>
            </w:r>
          </w:p>
        </w:tc>
      </w:tr>
      <w:tr>
        <w:tc>
          <w:tcPr>
            <w:tcW w:type="dxa" w:w="1440"/>
          </w:tcPr>
          <w:p>
            <w:r>
              <w:rPr>
                <w:rFonts w:ascii="Times New Roman" w:hAnsi="Times New Roman"/>
                <w:sz w:val="20"/>
              </w:rPr>
              <w:t>F_Compass</w:t>
            </w:r>
          </w:p>
        </w:tc>
        <w:tc>
          <w:tcPr>
            <w:tcW w:type="dxa" w:w="1440"/>
          </w:tcPr>
          <w:p>
            <w:r>
              <w:rPr>
                <w:rFonts w:ascii="Times New Roman" w:hAnsi="Times New Roman"/>
                <w:sz w:val="20"/>
              </w:rPr>
              <w:t>0</w:t>
            </w:r>
          </w:p>
        </w:tc>
        <w:tc>
          <w:tcPr>
            <w:tcW w:type="dxa" w:w="1440"/>
          </w:tcPr>
          <w:p>
            <w:r>
              <w:rPr>
                <w:rFonts w:ascii="Times New Roman" w:hAnsi="Times New Roman"/>
                <w:sz w:val="20"/>
              </w:rPr>
              <w:t>0.66</w:t>
            </w:r>
          </w:p>
        </w:tc>
        <w:tc>
          <w:tcPr>
            <w:tcW w:type="dxa" w:w="1440"/>
          </w:tcPr>
          <w:p>
            <w:r>
              <w:rPr>
                <w:rFonts w:ascii="Times New Roman" w:hAnsi="Times New Roman"/>
                <w:sz w:val="20"/>
              </w:rPr>
              <w:t>−0.09</w:t>
            </w:r>
          </w:p>
        </w:tc>
      </w:tr>
    </w:tbl>
    <w:p>
      <w:pPr>
        <w:spacing w:after="120"/>
      </w:pPr>
    </w:p>
    <w:p>
      <w:r>
        <w:rPr>
          <w:rFonts w:ascii="Times New Roman" w:hAnsi="Times New Roman"/>
          <w:sz w:val="22"/>
        </w:rPr>
        <w:t>The LiDAR and stereo camera are co-mounted at forward offset p_y = 0.66 m, with the LiDAR positioned 0.17 m above the stereo camera (p_z = 0.43 m vs. 0.26 m). This close co-location minimises the translational parallax between the two sensor frames, reducing extrinsic calibration error. Extrinsic calibration between the LiDAR and camera frames was performed using a reflective checkerboard target visible in both sensor modalities, achieving translational discrepancies under 2 cm and rotational error below 0.5°. Temporal co-registration between the 10 Hz LiDAR scan and the 20 Hz stereo frame was enforced via a hardware PPS (pulse-per-second) signal from the GNSS receiver, providing synchronisation accuracy within ±2 ms.</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5.2 ]</w:t>
            </w:r>
          </w:p>
          <w:p>
            <w:pPr>
              <w:jc w:val="center"/>
            </w:pPr>
            <w:r>
              <w:rPr>
                <w:i/>
                <w:color w:val="6E6E6E"/>
                <w:sz w:val="18"/>
              </w:rPr>
              <w:t>Schematic of sensor coordinate frames (F_LiDAR, F_Camera, F_GNSS, F_INS) relative to vessel body frame F_base, with translation offsets annotated. Adapt from thesis Figure 3.4.1. Source: Authors.</w:t>
            </w:r>
          </w:p>
        </w:tc>
      </w:tr>
    </w:tbl>
    <w:p>
      <w:pPr>
        <w:spacing w:before="60" w:after="240"/>
        <w:jc w:val="center"/>
      </w:pPr>
      <w:r>
        <w:rPr>
          <w:rFonts w:ascii="Times New Roman" w:hAnsi="Times New Roman"/>
          <w:i/>
          <w:sz w:val="20"/>
        </w:rPr>
        <w:t>Figure 5.2. Sensor coordinate frame layout on the Suraya Riptide, illustrating translation offsets from the vessel body frame origin for each sensor module.</w:t>
      </w:r>
    </w:p>
    <w:p>
      <w:pPr>
        <w:pStyle w:val="Heading2"/>
      </w:pPr>
      <w:r>
        <w:t>5.3  The M-ACF Net Framework: Architecture and Design Rationale</w:t>
      </w:r>
    </w:p>
    <w:p>
      <w:pPr>
        <w:pStyle w:val="Heading3"/>
      </w:pPr>
      <w:r>
        <w:t>Mid-Level Fusion: Design Philosophy and Paradigm Selection</w:t>
      </w:r>
    </w:p>
    <w:p>
      <w:r>
        <w:rPr>
          <w:rFonts w:ascii="Times New Roman" w:hAnsi="Times New Roman"/>
          <w:sz w:val="22"/>
        </w:rPr>
        <w:t>The M-ACF Net framework is motivated by the observation that mid-level fusion — the integration of sensor signals at the feature representation stage, prior to final detection decisions — offers a richer information exchange than decision-level approaches that combine only final object hypotheses. At the mid-level, geometric features derived from LiDAR point clouds and semantic depth features derived from stereo images can be aligned in a shared spatial representation, allowing the model to exploit correlations that are invisible to either sensor operating alone.</w:t>
      </w:r>
    </w:p>
    <w:p>
      <w:r>
        <w:rPr>
          <w:rFonts w:ascii="Times New Roman" w:hAnsi="Times New Roman"/>
          <w:sz w:val="22"/>
        </w:rPr>
        <w:t xml:space="preserve">A central design challenge for mid-level fusion is managing the confidence mismatch between sensor modalities: LiDAR provides superior absolute range accuracy but suffers from sparsity on small or low-reflectance targets, whilst stereo cameras deliver dense visual coverage but produce unreliable depth estimates under specular reflections or textureless surfaces. M-ACF Net addresses this through a </w:t>
      </w:r>
      <w:r>
        <w:rPr>
          <w:rFonts w:ascii="Times New Roman" w:hAnsi="Times New Roman"/>
          <w:b/>
          <w:sz w:val="22"/>
        </w:rPr>
        <w:t>dynamic confidence-weighted fusion mechanism</w:t>
      </w:r>
      <w:r>
        <w:rPr>
          <w:rFonts w:ascii="Times New Roman" w:hAnsi="Times New Roman"/>
          <w:sz w:val="22"/>
        </w:rPr>
        <w:t xml:space="preserve"> that adjusts the relative contribution of each sensor's features on a per-frame basis, guided by per-modality reliability estimates computed from the raw data quality.</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5.3 ]</w:t>
            </w:r>
          </w:p>
          <w:p>
            <w:pPr>
              <w:jc w:val="center"/>
            </w:pPr>
            <w:r>
              <w:rPr>
                <w:i/>
                <w:color w:val="6E6E6E"/>
                <w:sz w:val="18"/>
              </w:rPr>
              <w:t>Block diagram of the complete M-ACF Net pipeline from sensor input to GNC output. Adapt from thesis architecture diagrams. Source: Authors.</w:t>
            </w:r>
          </w:p>
        </w:tc>
      </w:tr>
    </w:tbl>
    <w:p>
      <w:pPr>
        <w:spacing w:before="60" w:after="240"/>
        <w:jc w:val="center"/>
      </w:pPr>
      <w:r>
        <w:rPr>
          <w:rFonts w:ascii="Times New Roman" w:hAnsi="Times New Roman"/>
          <w:i/>
          <w:sz w:val="20"/>
        </w:rPr>
        <w:t>Figure 5.3. Overall M-ACF Net architecture: sensor acquisition → feature extraction (LiDAR and stereo branches) → confidence-weighted mid-level fusion → PCA–K-Means clustering → GNC integration.</w:t>
      </w:r>
    </w:p>
    <w:p>
      <w:pPr>
        <w:pStyle w:val="Heading3"/>
      </w:pPr>
      <w:r>
        <w:t>Architectural Overview and Egocentric Processing</w:t>
      </w:r>
    </w:p>
    <w:p>
      <w:r>
        <w:rPr>
          <w:rFonts w:ascii="Times New Roman" w:hAnsi="Times New Roman"/>
          <w:sz w:val="22"/>
        </w:rPr>
        <w:t xml:space="preserve">The M-ACF Net pipeline operates in an </w:t>
      </w:r>
      <w:r>
        <w:rPr>
          <w:rFonts w:ascii="Times New Roman" w:hAnsi="Times New Roman"/>
          <w:b/>
          <w:sz w:val="22"/>
        </w:rPr>
        <w:t>egocentric reference frame</w:t>
      </w:r>
      <w:r>
        <w:rPr>
          <w:rFonts w:ascii="Times New Roman" w:hAnsi="Times New Roman"/>
          <w:sz w:val="22"/>
        </w:rPr>
        <w:t xml:space="preserve"> centred on the USV, in which all sensor measurements and fused obstacle representations are expressed relative to the vessel's current position and heading. This choice simplifies coordinate management in the downstream GNC system and ensures that obstacle proximity and bearing are always expressed in the vessel-centric terms most relevant to collision avoidance decision-making.</w:t>
      </w:r>
    </w:p>
    <w:p>
      <w:r>
        <w:rPr>
          <w:rFonts w:ascii="Times New Roman" w:hAnsi="Times New Roman"/>
          <w:sz w:val="22"/>
        </w:rPr>
        <w:t xml:space="preserve">The pipeline comprises five sequential stages: (1) </w:t>
      </w:r>
      <w:r>
        <w:rPr>
          <w:rFonts w:ascii="Times New Roman" w:hAnsi="Times New Roman"/>
          <w:b/>
          <w:sz w:val="22"/>
        </w:rPr>
        <w:t>sensor preprocessing</w:t>
      </w:r>
      <w:r>
        <w:rPr>
          <w:rFonts w:ascii="Times New Roman" w:hAnsi="Times New Roman"/>
          <w:sz w:val="22"/>
        </w:rPr>
        <w:t xml:space="preserve"> — raw LiDAR and stereo data are independently filtered, downsampled, and calibrated; (2) </w:t>
      </w:r>
      <w:r>
        <w:rPr>
          <w:rFonts w:ascii="Times New Roman" w:hAnsi="Times New Roman"/>
          <w:b/>
          <w:sz w:val="22"/>
        </w:rPr>
        <w:t>feature extraction</w:t>
      </w:r>
      <w:r>
        <w:rPr>
          <w:rFonts w:ascii="Times New Roman" w:hAnsi="Times New Roman"/>
          <w:sz w:val="22"/>
        </w:rPr>
        <w:t xml:space="preserve"> — LiDAR geometric features and stereo-derived visual depth features are computed in parallel processing threads; (3) </w:t>
      </w:r>
      <w:r>
        <w:rPr>
          <w:rFonts w:ascii="Times New Roman" w:hAnsi="Times New Roman"/>
          <w:b/>
          <w:sz w:val="22"/>
        </w:rPr>
        <w:t>mid-level confidence-weighted fusion</w:t>
      </w:r>
      <w:r>
        <w:rPr>
          <w:rFonts w:ascii="Times New Roman" w:hAnsi="Times New Roman"/>
          <w:sz w:val="22"/>
        </w:rPr>
        <w:t xml:space="preserve"> — features from both branches are combined using dynamically computed per-modality confidence weights; (4) </w:t>
      </w:r>
      <w:r>
        <w:rPr>
          <w:rFonts w:ascii="Times New Roman" w:hAnsi="Times New Roman"/>
          <w:b/>
          <w:sz w:val="22"/>
        </w:rPr>
        <w:t>PCA–K-Means clustering</w:t>
      </w:r>
      <w:r>
        <w:rPr>
          <w:rFonts w:ascii="Times New Roman" w:hAnsi="Times New Roman"/>
          <w:sz w:val="22"/>
        </w:rPr>
        <w:t xml:space="preserve"> — fused features are grouped into spatially coherent obstacle candidates, each assigned a 3D bounding representation; and (5) </w:t>
      </w:r>
      <w:r>
        <w:rPr>
          <w:rFonts w:ascii="Times New Roman" w:hAnsi="Times New Roman"/>
          <w:b/>
          <w:sz w:val="22"/>
        </w:rPr>
        <w:t>GNC transmission</w:t>
      </w:r>
      <w:r>
        <w:rPr>
          <w:rFonts w:ascii="Times New Roman" w:hAnsi="Times New Roman"/>
          <w:sz w:val="22"/>
        </w:rPr>
        <w:t xml:space="preserve"> — obstacle state estimates are forwarded to the navigation controller via a structured communication interface.</w:t>
      </w:r>
    </w:p>
    <w:p>
      <w:pPr>
        <w:pStyle w:val="Heading3"/>
      </w:pPr>
      <w:r>
        <w:t>Sensor Coordinate Alignment and Preprocessing</w:t>
      </w:r>
    </w:p>
    <w:p>
      <w:r>
        <w:rPr>
          <w:rFonts w:ascii="Times New Roman" w:hAnsi="Times New Roman"/>
          <w:sz w:val="22"/>
        </w:rPr>
        <w:t xml:space="preserve">Before feature extraction can commence, LiDAR point clouds must be projected into the camera coordinate frame to establish spatial correspondence between the two sensor modalities. Given the extrinsically calibrated rotation matrix </w:t>
      </w:r>
      <w:r>
        <w:rPr>
          <w:rFonts w:ascii="Times New Roman" w:hAnsi="Times New Roman"/>
          <w:b/>
          <w:sz w:val="22"/>
        </w:rPr>
        <w:t>R</w:t>
      </w:r>
      <w:r>
        <w:rPr>
          <w:rFonts w:ascii="Times New Roman" w:hAnsi="Times New Roman"/>
          <w:sz w:val="22"/>
        </w:rPr>
        <w:t xml:space="preserve"> and translation vector </w:t>
      </w:r>
      <w:r>
        <w:rPr>
          <w:rFonts w:ascii="Times New Roman" w:hAnsi="Times New Roman"/>
          <w:b/>
          <w:sz w:val="22"/>
        </w:rPr>
        <w:t>t</w:t>
      </w:r>
      <w:r>
        <w:rPr>
          <w:rFonts w:ascii="Times New Roman" w:hAnsi="Times New Roman"/>
          <w:sz w:val="22"/>
        </w:rPr>
        <w:t xml:space="preserve">, each LiDAR point </w:t>
      </w:r>
      <w:r>
        <w:rPr>
          <w:rFonts w:ascii="Times New Roman" w:hAnsi="Times New Roman"/>
          <w:b/>
          <w:sz w:val="22"/>
        </w:rPr>
        <w:t>p</w:t>
      </w:r>
      <w:r>
        <w:rPr>
          <w:rFonts w:ascii="Times New Roman" w:hAnsi="Times New Roman"/>
          <w:sz w:val="22"/>
        </w:rPr>
        <w:t>_L = (x_L, y_L, z_L)^T is transformed to the camera frame as:</w:t>
      </w:r>
    </w:p>
    <w:p>
      <w:pPr>
        <w:spacing w:before="120" w:after="120"/>
        <w:jc w:val="center"/>
      </w:pPr>
      <w:r>
        <w:rPr>
          <w:rFonts w:ascii="Times New Roman" w:hAnsi="Times New Roman"/>
          <w:i/>
          <w:sz w:val="22"/>
        </w:rPr>
        <w:t>p_C = R\,p_L + t</w:t>
      </w:r>
      <w:r>
        <w:t xml:space="preserve">   (5.1)</w:t>
      </w:r>
    </w:p>
    <w:p>
      <w:r>
        <w:rPr>
          <w:rFonts w:ascii="Times New Roman" w:hAnsi="Times New Roman"/>
          <w:sz w:val="22"/>
        </w:rPr>
        <w:t xml:space="preserve">The transformed point is subsequently projected onto the image plane using the camera intrinsic matrix </w:t>
      </w:r>
      <w:r>
        <w:rPr>
          <w:rFonts w:ascii="Times New Roman" w:hAnsi="Times New Roman"/>
          <w:b/>
          <w:sz w:val="22"/>
        </w:rPr>
        <w:t>K</w:t>
      </w:r>
      <w:r>
        <w:rPr>
          <w:rFonts w:ascii="Times New Roman" w:hAnsi="Times New Roman"/>
          <w:sz w:val="22"/>
        </w:rPr>
        <w:t>, yielding the 2D pixel coordinates at which the LiDAR point appears in the camera image. This projection enables spatial correspondence between LiDAR range measurements and stereo image features, which is the foundation of mid-level fusion.</w:t>
      </w:r>
    </w:p>
    <w:p>
      <w:pPr>
        <w:spacing w:before="120" w:after="120"/>
        <w:jc w:val="center"/>
      </w:pPr>
      <w:r>
        <w:rPr>
          <w:rFonts w:ascii="Times New Roman" w:hAnsi="Times New Roman"/>
          <w:i/>
          <w:sz w:val="22"/>
        </w:rPr>
        <w:t>( u ; v ; 1 ) = (1)/(Z_C)\,K\,p_C</w:t>
      </w:r>
      <w:r>
        <w:t xml:space="preserve">   (5.2)</w:t>
      </w:r>
    </w:p>
    <w:p>
      <w:r>
        <w:rPr>
          <w:rFonts w:ascii="Times New Roman" w:hAnsi="Times New Roman"/>
          <w:sz w:val="22"/>
        </w:rPr>
        <w:t xml:space="preserve">where (u, v) are the projected pixel coordinates, Z_C is the depth of the LiDAR point in the camera frame, and </w:t>
      </w:r>
      <w:r>
        <w:rPr>
          <w:rFonts w:ascii="Times New Roman" w:hAnsi="Times New Roman"/>
          <w:b/>
          <w:sz w:val="22"/>
        </w:rPr>
        <w:t>K</w:t>
      </w:r>
      <w:r>
        <w:rPr>
          <w:rFonts w:ascii="Times New Roman" w:hAnsi="Times New Roman"/>
          <w:sz w:val="22"/>
        </w:rPr>
        <w:t xml:space="preserve"> is the 3 × 3 camera intrinsic matrix containing focal lengths and principal point offsets.</w:t>
      </w:r>
    </w:p>
    <w:p>
      <w:pPr>
        <w:pStyle w:val="Heading2"/>
      </w:pPr>
      <w:r>
        <w:t>5.4  Visual Feature Extraction and Pseudo-LiDAR Generation</w:t>
      </w:r>
    </w:p>
    <w:p>
      <w:pPr>
        <w:pStyle w:val="Heading3"/>
      </w:pPr>
      <w:r>
        <w:t>Object Detection Model Selection and Training</w:t>
      </w:r>
    </w:p>
    <w:p>
      <w:r>
        <w:rPr>
          <w:rFonts w:ascii="Times New Roman" w:hAnsi="Times New Roman"/>
          <w:sz w:val="22"/>
        </w:rPr>
        <w:t>Five variants of YOLOv8 — Nano (YOLOv8n), Small (YOLOv8s), Medium (YOLOv8m), Large (YOLOv8l), and Extra-large (YOLOv8x) — were evaluated alongside a Faster R-CNN X101-FPN two-stage detector as baseline. Selection criteria prioritised: (i) inference throughput on the NVIDIA Jetson Orin NX sufficient for real-time operation; (ii) detection accuracy on the maritime obstacle classes relevant to USV collision avoidance; and (iii) cross-domain robustness to avoid performance collapse when tested in environments different from the training distribution.</w:t>
      </w:r>
    </w:p>
    <w:p>
      <w:r>
        <w:rPr>
          <w:rFonts w:ascii="Times New Roman" w:hAnsi="Times New Roman"/>
          <w:sz w:val="22"/>
        </w:rPr>
        <w:t xml:space="preserve">Training data were drawn from two established maritime benchmark datasets. The </w:t>
      </w:r>
      <w:r>
        <w:rPr>
          <w:rFonts w:ascii="Times New Roman" w:hAnsi="Times New Roman"/>
          <w:b/>
          <w:sz w:val="22"/>
        </w:rPr>
        <w:t>SeaShips</w:t>
      </w:r>
      <w:r>
        <w:rPr>
          <w:rFonts w:ascii="Times New Roman" w:hAnsi="Times New Roman"/>
          <w:sz w:val="22"/>
        </w:rPr>
        <w:t xml:space="preserve"> dataset comprises 7,080 annotated instances across six vessel categories: bulk cargo carrier (19.85%), ore carrier (21.24%), fishing boat (28.05%), container ship (10.48%), general cargo ship (14.73%), and passenger ship (5.63%). The </w:t>
      </w:r>
      <w:r>
        <w:rPr>
          <w:rFonts w:ascii="Times New Roman" w:hAnsi="Times New Roman"/>
          <w:b/>
          <w:sz w:val="22"/>
        </w:rPr>
        <w:t>Singapore Maritime Dataset (SMD)</w:t>
      </w:r>
      <w:r>
        <w:rPr>
          <w:rFonts w:ascii="Times New Roman" w:hAnsi="Times New Roman"/>
          <w:sz w:val="22"/>
        </w:rPr>
        <w:t xml:space="preserve"> provides 48,317 instances across nine categories, including boat, buoy, ferry, kayak, speed boat, sailboat, vessel/ship (71.60% of instances), and other. All annotations were standardised to a unified 'sea_obstacle' class (class ID = 0) to focus detection performance on obstacle presence and localisation independent of vessel-type classification, which is handled at the comprehension layer of the GNC system.</w:t>
      </w:r>
    </w:p>
    <w:p>
      <w:r>
        <w:rPr>
          <w:rFonts w:ascii="Times New Roman" w:hAnsi="Times New Roman"/>
          <w:sz w:val="22"/>
        </w:rPr>
        <w:t>Training employed data augmentation (random scaling, cropping, and lighting variations) to enhance model robustness to the diverse illumination and viewpoint conditions encountered in near-shore USV deployments. Batch size and input resolution were tuned per variant to the memory constraints of the Jetson Orin NX. Optimisation targeted precision–recall balance, with model selection guided by mAP@0.5 on held-out validation splits of each benchmark dataset.</w:t>
      </w:r>
    </w:p>
    <w:p>
      <w:r>
        <w:rPr>
          <w:rFonts w:ascii="Times New Roman" w:hAnsi="Times New Roman"/>
          <w:b/>
          <w:sz w:val="22"/>
        </w:rPr>
        <w:t>Intra-domain performance.</w:t>
      </w:r>
      <w:r>
        <w:rPr>
          <w:rFonts w:ascii="Times New Roman" w:hAnsi="Times New Roman"/>
          <w:sz w:val="22"/>
        </w:rPr>
        <w:t xml:space="preserve"> The domain-specific best models — YOLOv8x for SMD and YOLOv8m for SeaShips — achieved strong in-domain detection accuracy as shown in Table 5.3. The SMD-trained YOLOv8x reached mAP@0.5 = 0.988 (precision 0.983, recall 0.961), whilst the SeaShip-trained YOLOv8m achieved mAP@0.5 = 0.954 (precision 0.913, recall 0.889). However, cross-domain evaluation revealed significant performance degradation: applying YOLOv8x trained on SMD to the SeaShips test set reduced mAP@0.5 to 0.446 (a 54.9% drop), whilst the YOLOv8m SeaShips model applied to SMD yielded mAP@0.5 = 0.144 (an 84.9% drop). This cross-domain brittleness motivates the multi-environment dataset collection described in Section 5.8 and the confidence-weighted fusion strategy, which inherently reduces dependence on any single-modality detection pathway.</w:t>
      </w:r>
    </w:p>
    <w:p>
      <w:pPr>
        <w:spacing w:before="240" w:after="60"/>
      </w:pPr>
      <w:r>
        <w:rPr>
          <w:rFonts w:ascii="Times New Roman" w:hAnsi="Times New Roman"/>
          <w:b/>
          <w:sz w:val="20"/>
        </w:rPr>
        <w:t>Table 5.3. YOLOv8 intra-domain detection performance on SMD and SeaShips validation sets (unified 'sea_obstacle' class).</w:t>
      </w:r>
    </w:p>
    <w:tbl>
      <w:tblPr>
        <w:tblStyle w:val="TableGrid"/>
        <w:tblW w:type="auto" w:w="0"/>
        <w:tblLook w:firstColumn="1" w:firstRow="1" w:lastColumn="0" w:lastRow="0" w:noHBand="0" w:noVBand="1" w:val="04A0"/>
      </w:tblPr>
      <w:tblGrid>
        <w:gridCol w:w="960"/>
        <w:gridCol w:w="960"/>
        <w:gridCol w:w="960"/>
        <w:gridCol w:w="960"/>
        <w:gridCol w:w="960"/>
        <w:gridCol w:w="960"/>
      </w:tblGrid>
      <w:tr>
        <w:tc>
          <w:tcPr>
            <w:tcW w:type="dxa" w:w="960"/>
            <w:shd w:val="clear" w:color="auto" w:fill="CCCCCC"/>
          </w:tcPr>
          <w:p>
            <w:r>
              <w:rPr>
                <w:rFonts w:ascii="Times New Roman" w:hAnsi="Times New Roman"/>
                <w:b/>
                <w:sz w:val="20"/>
              </w:rPr>
              <w:t>Model</w:t>
            </w:r>
          </w:p>
        </w:tc>
        <w:tc>
          <w:tcPr>
            <w:tcW w:type="dxa" w:w="960"/>
            <w:shd w:val="clear" w:color="auto" w:fill="CCCCCC"/>
          </w:tcPr>
          <w:p>
            <w:r>
              <w:rPr>
                <w:rFonts w:ascii="Times New Roman" w:hAnsi="Times New Roman"/>
                <w:b/>
                <w:sz w:val="20"/>
              </w:rPr>
              <w:t>Dataset</w:t>
            </w:r>
          </w:p>
        </w:tc>
        <w:tc>
          <w:tcPr>
            <w:tcW w:type="dxa" w:w="960"/>
            <w:shd w:val="clear" w:color="auto" w:fill="CCCCCC"/>
          </w:tcPr>
          <w:p>
            <w:r>
              <w:rPr>
                <w:rFonts w:ascii="Times New Roman" w:hAnsi="Times New Roman"/>
                <w:b/>
                <w:sz w:val="20"/>
              </w:rPr>
              <w:t>Precision</w:t>
            </w:r>
          </w:p>
        </w:tc>
        <w:tc>
          <w:tcPr>
            <w:tcW w:type="dxa" w:w="960"/>
            <w:shd w:val="clear" w:color="auto" w:fill="CCCCCC"/>
          </w:tcPr>
          <w:p>
            <w:r>
              <w:rPr>
                <w:rFonts w:ascii="Times New Roman" w:hAnsi="Times New Roman"/>
                <w:b/>
                <w:sz w:val="20"/>
              </w:rPr>
              <w:t>Recall</w:t>
            </w:r>
          </w:p>
        </w:tc>
        <w:tc>
          <w:tcPr>
            <w:tcW w:type="dxa" w:w="960"/>
            <w:shd w:val="clear" w:color="auto" w:fill="CCCCCC"/>
          </w:tcPr>
          <w:p>
            <w:r>
              <w:rPr>
                <w:rFonts w:ascii="Times New Roman" w:hAnsi="Times New Roman"/>
                <w:b/>
                <w:sz w:val="20"/>
              </w:rPr>
              <w:t>mAP@0.5</w:t>
            </w:r>
          </w:p>
        </w:tc>
        <w:tc>
          <w:tcPr>
            <w:tcW w:type="dxa" w:w="960"/>
            <w:shd w:val="clear" w:color="auto" w:fill="CCCCCC"/>
          </w:tcPr>
          <w:p>
            <w:r>
              <w:rPr>
                <w:rFonts w:ascii="Times New Roman" w:hAnsi="Times New Roman"/>
                <w:b/>
                <w:sz w:val="20"/>
              </w:rPr>
              <w:t>mAP@0.5:0.95</w:t>
            </w:r>
          </w:p>
        </w:tc>
      </w:tr>
      <w:tr>
        <w:tc>
          <w:tcPr>
            <w:tcW w:type="dxa" w:w="960"/>
          </w:tcPr>
          <w:p>
            <w:r>
              <w:rPr>
                <w:rFonts w:ascii="Times New Roman" w:hAnsi="Times New Roman"/>
                <w:sz w:val="20"/>
              </w:rPr>
              <w:t>YOLOv8x</w:t>
            </w:r>
          </w:p>
        </w:tc>
        <w:tc>
          <w:tcPr>
            <w:tcW w:type="dxa" w:w="960"/>
          </w:tcPr>
          <w:p>
            <w:r>
              <w:rPr>
                <w:rFonts w:ascii="Times New Roman" w:hAnsi="Times New Roman"/>
                <w:sz w:val="20"/>
              </w:rPr>
              <w:t>SMD</w:t>
            </w:r>
          </w:p>
        </w:tc>
        <w:tc>
          <w:tcPr>
            <w:tcW w:type="dxa" w:w="960"/>
          </w:tcPr>
          <w:p>
            <w:r>
              <w:rPr>
                <w:rFonts w:ascii="Times New Roman" w:hAnsi="Times New Roman"/>
                <w:sz w:val="20"/>
              </w:rPr>
              <w:t>0.983</w:t>
            </w:r>
          </w:p>
        </w:tc>
        <w:tc>
          <w:tcPr>
            <w:tcW w:type="dxa" w:w="960"/>
          </w:tcPr>
          <w:p>
            <w:r>
              <w:rPr>
                <w:rFonts w:ascii="Times New Roman" w:hAnsi="Times New Roman"/>
                <w:sz w:val="20"/>
              </w:rPr>
              <w:t>0.961</w:t>
            </w:r>
          </w:p>
        </w:tc>
        <w:tc>
          <w:tcPr>
            <w:tcW w:type="dxa" w:w="960"/>
          </w:tcPr>
          <w:p>
            <w:r>
              <w:rPr>
                <w:rFonts w:ascii="Times New Roman" w:hAnsi="Times New Roman"/>
                <w:sz w:val="20"/>
              </w:rPr>
              <w:t>0.988</w:t>
            </w:r>
          </w:p>
        </w:tc>
        <w:tc>
          <w:tcPr>
            <w:tcW w:type="dxa" w:w="960"/>
          </w:tcPr>
          <w:p>
            <w:r>
              <w:rPr>
                <w:rFonts w:ascii="Times New Roman" w:hAnsi="Times New Roman"/>
                <w:sz w:val="20"/>
              </w:rPr>
              <w:t>0.839</w:t>
            </w:r>
          </w:p>
        </w:tc>
      </w:tr>
      <w:tr>
        <w:tc>
          <w:tcPr>
            <w:tcW w:type="dxa" w:w="960"/>
          </w:tcPr>
          <w:p>
            <w:r>
              <w:rPr>
                <w:rFonts w:ascii="Times New Roman" w:hAnsi="Times New Roman"/>
                <w:sz w:val="20"/>
              </w:rPr>
              <w:t>YOLOv8m</w:t>
            </w:r>
          </w:p>
        </w:tc>
        <w:tc>
          <w:tcPr>
            <w:tcW w:type="dxa" w:w="960"/>
          </w:tcPr>
          <w:p>
            <w:r>
              <w:rPr>
                <w:rFonts w:ascii="Times New Roman" w:hAnsi="Times New Roman"/>
                <w:sz w:val="20"/>
              </w:rPr>
              <w:t>SeaShips</w:t>
            </w:r>
          </w:p>
        </w:tc>
        <w:tc>
          <w:tcPr>
            <w:tcW w:type="dxa" w:w="960"/>
          </w:tcPr>
          <w:p>
            <w:r>
              <w:rPr>
                <w:rFonts w:ascii="Times New Roman" w:hAnsi="Times New Roman"/>
                <w:sz w:val="20"/>
              </w:rPr>
              <w:t>0.913</w:t>
            </w:r>
          </w:p>
        </w:tc>
        <w:tc>
          <w:tcPr>
            <w:tcW w:type="dxa" w:w="960"/>
          </w:tcPr>
          <w:p>
            <w:r>
              <w:rPr>
                <w:rFonts w:ascii="Times New Roman" w:hAnsi="Times New Roman"/>
                <w:sz w:val="20"/>
              </w:rPr>
              <w:t>0.889</w:t>
            </w:r>
          </w:p>
        </w:tc>
        <w:tc>
          <w:tcPr>
            <w:tcW w:type="dxa" w:w="960"/>
          </w:tcPr>
          <w:p>
            <w:r>
              <w:rPr>
                <w:rFonts w:ascii="Times New Roman" w:hAnsi="Times New Roman"/>
                <w:sz w:val="20"/>
              </w:rPr>
              <w:t>0.954</w:t>
            </w:r>
          </w:p>
        </w:tc>
        <w:tc>
          <w:tcPr>
            <w:tcW w:type="dxa" w:w="960"/>
          </w:tcPr>
          <w:p>
            <w:r>
              <w:rPr>
                <w:rFonts w:ascii="Times New Roman" w:hAnsi="Times New Roman"/>
                <w:sz w:val="20"/>
              </w:rPr>
              <w:t>0.686</w:t>
            </w:r>
          </w:p>
        </w:tc>
      </w:tr>
    </w:tbl>
    <w:p>
      <w:pPr>
        <w:spacing w:after="120"/>
      </w:pPr>
    </w:p>
    <w:p>
      <w:pPr>
        <w:pStyle w:val="Heading3"/>
      </w:pPr>
      <w:r>
        <w:t>Stereo Vision Depth Estimation and Occlusion Handling</w:t>
      </w:r>
    </w:p>
    <w:p>
      <w:r>
        <w:rPr>
          <w:rFonts w:ascii="Times New Roman" w:hAnsi="Times New Roman"/>
          <w:sz w:val="22"/>
        </w:rPr>
        <w:t>Dense depth estimation is performed via a deep-learning-based cost-volume disparity network. For each pixel (x, y), a cost volume C(x, y, d) is constructed by summing squared photometric differences over a neighbourhood N of the candidate disparity d:</w:t>
      </w:r>
    </w:p>
    <w:p>
      <w:pPr>
        <w:spacing w:before="120" w:after="120"/>
        <w:jc w:val="center"/>
      </w:pPr>
      <w:r>
        <w:rPr>
          <w:rFonts w:ascii="Times New Roman" w:hAnsi="Times New Roman"/>
          <w:i/>
          <w:sz w:val="22"/>
        </w:rPr>
        <w:t>C(x,y,d) = _k ∈ N (I_L(x+k,y) - I_R(x-d+k,y))^2</w:t>
      </w:r>
      <w:r>
        <w:t xml:space="preserve">   (5.3)</w:t>
      </w:r>
    </w:p>
    <w:p>
      <w:r>
        <w:rPr>
          <w:rFonts w:ascii="Times New Roman" w:hAnsi="Times New Roman"/>
          <w:sz w:val="22"/>
        </w:rPr>
        <w:t>The disparity map is then recovered from the cost volume via a soft-argmin operation that produces a sub-pixel-accurate, differentiable disparity estimate:</w:t>
      </w:r>
    </w:p>
    <w:p>
      <w:pPr>
        <w:spacing w:before="120" w:after="120"/>
        <w:jc w:val="center"/>
      </w:pPr>
      <w:r>
        <w:rPr>
          <w:rFonts w:ascii="Times New Roman" w:hAnsi="Times New Roman"/>
          <w:i/>
          <w:sz w:val="22"/>
        </w:rPr>
        <w:t>D(x,y) = _d d · softmax(-C(x,y,d))</w:t>
      </w:r>
      <w:r>
        <w:t xml:space="preserve">   (5.4)</w:t>
      </w:r>
    </w:p>
    <w:p>
      <w:r>
        <w:rPr>
          <w:rFonts w:ascii="Times New Roman" w:hAnsi="Times New Roman"/>
          <w:sz w:val="22"/>
        </w:rPr>
        <w:t>Metric depth Z is recovered from disparity d using the ZED 2i's calibrated focal length f and its fixed 65 mm stereo baseline B:</w:t>
      </w:r>
    </w:p>
    <w:p>
      <w:pPr>
        <w:spacing w:before="120" w:after="120"/>
        <w:jc w:val="center"/>
      </w:pPr>
      <w:r>
        <w:rPr>
          <w:rFonts w:ascii="Times New Roman" w:hAnsi="Times New Roman"/>
          <w:i/>
          <w:sz w:val="22"/>
        </w:rPr>
        <w:t>Z = (f · B)/(d)</w:t>
      </w:r>
      <w:r>
        <w:t xml:space="preserve">   (5.5)</w:t>
      </w:r>
    </w:p>
    <w:p>
      <w:r>
        <w:rPr>
          <w:rFonts w:ascii="Times New Roman" w:hAnsi="Times New Roman"/>
          <w:b/>
          <w:sz w:val="22"/>
        </w:rPr>
        <w:t>Stereo occlusion handling.</w:t>
      </w:r>
      <w:r>
        <w:rPr>
          <w:rFonts w:ascii="Times New Roman" w:hAnsi="Times New Roman"/>
          <w:sz w:val="22"/>
        </w:rPr>
        <w:t xml:space="preserve"> Regions visible in only one camera — common at obstacle boundaries and water-surface interfaces — produce unreliable disparity estimates. M-ACF Net identifies occluded pixels via left–right consistency checking and fills them using an inverse-distance-weighted interpolation from neighbouring valid depth estimates:</w:t>
      </w:r>
    </w:p>
    <w:p>
      <w:pPr>
        <w:spacing w:before="120" w:after="120"/>
        <w:jc w:val="center"/>
      </w:pPr>
      <w:r>
        <w:rPr>
          <w:rFonts w:ascii="Times New Roman" w:hAnsi="Times New Roman"/>
          <w:i/>
          <w:sz w:val="22"/>
        </w:rPr>
        <w:t>d_interpolated = (_i w_i · d_i)/(_i w_i)</w:t>
      </w:r>
      <w:r>
        <w:t xml:space="preserve">   (5.6)</w:t>
      </w:r>
    </w:p>
    <w:p>
      <w:r>
        <w:rPr>
          <w:rFonts w:ascii="Times New Roman" w:hAnsi="Times New Roman"/>
          <w:sz w:val="22"/>
        </w:rPr>
        <w:t>The stereo recovery efficiency η — the fraction of originally occluded pixels successfully recovered by interpolation — is monitored per frame and contributes to the stereo confidence score C_stereo used in the fusion stage (Section 5.6):</w:t>
      </w:r>
    </w:p>
    <w:p>
      <w:pPr>
        <w:spacing w:before="120" w:after="120"/>
        <w:jc w:val="center"/>
      </w:pPr>
      <w:r>
        <w:rPr>
          <w:rFonts w:ascii="Times New Roman" w:hAnsi="Times New Roman"/>
          <w:i/>
          <w:sz w:val="22"/>
        </w:rPr>
        <w:t>η = N_{recovered}N_{occluded} × 100\%</w:t>
      </w:r>
      <w:r>
        <w:t xml:space="preserve">   (5.7)</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5.4 ]</w:t>
            </w:r>
          </w:p>
          <w:p>
            <w:pPr>
              <w:jc w:val="center"/>
            </w:pPr>
            <w:r>
              <w:rPr>
                <w:i/>
                <w:color w:val="6E6E6E"/>
                <w:sz w:val="18"/>
              </w:rPr>
              <w:t>Side-by-side comparison: left RGB image, raw disparity map (with occluded regions visible as holes), and recovered disparity after weighted interpolation, across calm and wave-disturbed water conditions. Source: Authors.</w:t>
            </w:r>
          </w:p>
        </w:tc>
      </w:tr>
    </w:tbl>
    <w:p>
      <w:pPr>
        <w:spacing w:before="60" w:after="240"/>
        <w:jc w:val="center"/>
      </w:pPr>
      <w:r>
        <w:rPr>
          <w:rFonts w:ascii="Times New Roman" w:hAnsi="Times New Roman"/>
          <w:i/>
          <w:sz w:val="20"/>
        </w:rPr>
        <w:t>Figure 5.4. Stereo disparity estimation and occlusion recovery: (a) left RGB input; (b) raw disparity map with occluded regions; (c) interpolation-recovered disparity map used for Pseudo-LiDAR generation.</w:t>
      </w:r>
    </w:p>
    <w:p>
      <w:pPr>
        <w:pStyle w:val="Heading3"/>
      </w:pPr>
      <w:r>
        <w:t>Pseudo-LiDAR Generation from Disparity Maps</w:t>
      </w:r>
    </w:p>
    <w:p>
      <w:r>
        <w:rPr>
          <w:rFonts w:ascii="Times New Roman" w:hAnsi="Times New Roman"/>
          <w:sz w:val="22"/>
        </w:rPr>
        <w:t>The recovered depth map is converted into a Pseudo-LiDAR point cloud — a 3D point representation geometrically equivalent to a direct LiDAR measurement from the camera viewpoint. Each pixel (u, v) in the depth image is unprojected into 3D camera-frame coordinates using the camera intrinsic matrix K:</w:t>
      </w:r>
    </w:p>
    <w:p>
      <w:pPr>
        <w:spacing w:before="120" w:after="120"/>
        <w:jc w:val="center"/>
      </w:pPr>
      <w:r>
        <w:rPr>
          <w:rFonts w:ascii="Times New Roman" w:hAnsi="Times New Roman"/>
          <w:i/>
          <w:sz w:val="22"/>
        </w:rPr>
        <w:t>( X ; Y ; Z ) = Z · K^-1 ( u ; v ; 1 )</w:t>
      </w:r>
      <w:r>
        <w:t xml:space="preserve">   (5.8)</w:t>
      </w:r>
    </w:p>
    <w:p>
      <w:r>
        <w:rPr>
          <w:rFonts w:ascii="Times New Roman" w:hAnsi="Times New Roman"/>
          <w:sz w:val="22"/>
        </w:rPr>
        <w:t>equivalently expressed in terms of the camera's focal lengths (f_x, f_y) and principal point (c_x, c_y) as:</w:t>
      </w:r>
    </w:p>
    <w:p>
      <w:pPr>
        <w:spacing w:before="120" w:after="120"/>
        <w:jc w:val="center"/>
      </w:pPr>
      <w:r>
        <w:rPr>
          <w:rFonts w:ascii="Times New Roman" w:hAnsi="Times New Roman"/>
          <w:i/>
          <w:sz w:val="22"/>
        </w:rPr>
        <w:t>X = (Z(u - c_x))/(f_x), Y = (Z(v - c_y))/(f_y)</w:t>
      </w:r>
      <w:r>
        <w:t xml:space="preserve">   (5.9)</w:t>
      </w:r>
    </w:p>
    <w:p>
      <w:r>
        <w:rPr>
          <w:rFonts w:ascii="Times New Roman" w:hAnsi="Times New Roman"/>
          <w:sz w:val="22"/>
        </w:rPr>
        <w:t>The Pseudo-LiDAR cloud is clipped to the same field-of-view and range bounds as the physical LiDAR, and voxel-downsampled to a comparable point density before entering the mid-level fusion stage. This representation allows the fusion module to operate on two geometrically compatible 3D feature sets — real LiDAR and stereo-derived Pseudo-LiDAR — enabling richer spatial correspondence than possible with raw image–point cloud pairings.</w:t>
      </w:r>
    </w:p>
    <w:p>
      <w:pPr>
        <w:pStyle w:val="Heading2"/>
      </w:pPr>
      <w:r>
        <w:t>5.5  LiDAR Point Cloud Processing</w:t>
      </w:r>
    </w:p>
    <w:p>
      <w:r>
        <w:rPr>
          <w:rFonts w:ascii="Times New Roman" w:hAnsi="Times New Roman"/>
          <w:sz w:val="22"/>
        </w:rPr>
        <w:t>The LiDAR processing branch transforms raw 3D point clouds into a set of compact geometric features suitable for mid-level fusion. The pipeline proceeds through four sequential stages.</w:t>
      </w:r>
    </w:p>
    <w:p>
      <w:pPr>
        <w:pStyle w:val="Heading3"/>
      </w:pPr>
      <w:r>
        <w:t>Downsampling, Noise Removal, and FOV Filtering</w:t>
      </w:r>
    </w:p>
    <w:p>
      <w:r>
        <w:rPr>
          <w:rFonts w:ascii="Times New Roman" w:hAnsi="Times New Roman"/>
          <w:b/>
          <w:sz w:val="22"/>
        </w:rPr>
        <w:t>Voxel downsampling</w:t>
      </w:r>
      <w:r>
        <w:rPr>
          <w:rFonts w:ascii="Times New Roman" w:hAnsi="Times New Roman"/>
          <w:sz w:val="22"/>
        </w:rPr>
        <w:t xml:space="preserve"> replaces all points within each voxel cell of side length </w:t>
      </w:r>
      <w:r>
        <w:rPr>
          <w:rFonts w:ascii="Times New Roman" w:hAnsi="Times New Roman"/>
          <w:b/>
          <w:sz w:val="22"/>
        </w:rPr>
        <w:t>0.2 m</w:t>
      </w:r>
      <w:r>
        <w:rPr>
          <w:rFonts w:ascii="Times New Roman" w:hAnsi="Times New Roman"/>
          <w:sz w:val="22"/>
        </w:rPr>
        <w:t xml:space="preserve"> with a single centroid point. This voxel size was selected through empirical optimisation as the configuration that achieved the best balance between cloud density and processing speed, producing an 8.0% reduction in point count whilst preserving the geometric structure of maritime obstacles at the relevant detection scales.</w:t>
      </w:r>
    </w:p>
    <w:p>
      <w:r>
        <w:rPr>
          <w:rFonts w:ascii="Times New Roman" w:hAnsi="Times New Roman"/>
          <w:b/>
          <w:sz w:val="22"/>
        </w:rPr>
        <w:t>Statistical outlier removal (SOR)</w:t>
      </w:r>
      <w:r>
        <w:rPr>
          <w:rFonts w:ascii="Times New Roman" w:hAnsi="Times New Roman"/>
          <w:sz w:val="22"/>
        </w:rPr>
        <w:t xml:space="preserve"> identifies and discards points whose mean distance to their k nearest neighbours deviates substantially from the global neighbourhood mean. The SOR threshold parameter k = 1.5 standard deviations was identified as optimal through F1-score analysis across multiple near-shore environments: the preprocessing configuration (voxel = 0.2 m, k = 1.5) achieved an F1-score of </w:t>
      </w:r>
      <w:r>
        <w:rPr>
          <w:rFonts w:ascii="Times New Roman" w:hAnsi="Times New Roman"/>
          <w:b/>
          <w:sz w:val="22"/>
        </w:rPr>
        <w:t>0.85</w:t>
      </w:r>
      <w:r>
        <w:rPr>
          <w:rFonts w:ascii="Times New Roman" w:hAnsi="Times New Roman"/>
          <w:sz w:val="22"/>
        </w:rPr>
        <w:t xml:space="preserve"> on the evaluation dataset, reflecting an effective balance between noise elimination and retention of sparse but meaningful obstacle returns from buoys and distant vessels.</w:t>
      </w:r>
    </w:p>
    <w:p>
      <w:r>
        <w:rPr>
          <w:rFonts w:ascii="Times New Roman" w:hAnsi="Times New Roman"/>
          <w:b/>
          <w:sz w:val="22"/>
        </w:rPr>
        <w:t>Field-of-view (FOV) filtering</w:t>
      </w:r>
      <w:r>
        <w:rPr>
          <w:rFonts w:ascii="Times New Roman" w:hAnsi="Times New Roman"/>
          <w:sz w:val="22"/>
        </w:rPr>
        <w:t xml:space="preserve"> restricts the processed cloud to the forward-facing hemisphere aligned with the stereo camera's angular coverage, ensuring geometric consistency between the LiDAR and stereo branches in the fusion stage. Points outside the FOV intersection are discarded, as they lack corresponding stereo depth measurements and would contribute uninformative features to the fusion module.</w:t>
      </w:r>
    </w:p>
    <w:p>
      <w:pPr>
        <w:pStyle w:val="Heading3"/>
      </w:pPr>
      <w:r>
        <w:t>Geometric Feature Extraction from Point Clouds</w:t>
      </w:r>
    </w:p>
    <w:p>
      <w:r>
        <w:rPr>
          <w:rFonts w:ascii="Times New Roman" w:hAnsi="Times New Roman"/>
          <w:sz w:val="22"/>
        </w:rPr>
        <w:t>Following preprocessing, geometric features are extracted from the filtered cloud to characterise local surface structure. For each point in the processed cloud, a neighbourhood of k nearest neighbours is identified, and local surface normal vectors and curvature estimates are computed via Principal Component Analysis (PCA) on the neighbourhood covariance matrix. These local geometric descriptors encode the orientation and smoothness of local surface patches — key discriminators between flat water surfaces (smooth, horizontal normals) and obstacle surfaces (varied orientations, higher curvature). The feature vector for each point thus comprises its 3D spatial coordinates augmented by its surface normal direction and principal curvature estimate, forming the LiDAR geometric feature representation passed to the fusion stage.</w:t>
      </w:r>
    </w:p>
    <w:p>
      <w:pPr>
        <w:pStyle w:val="Heading2"/>
      </w:pPr>
      <w:r>
        <w:t>5.6  Confidence-Weighted Mid-Level Feature Fusion</w:t>
      </w:r>
    </w:p>
    <w:p>
      <w:r>
        <w:rPr>
          <w:rFonts w:ascii="Times New Roman" w:hAnsi="Times New Roman"/>
          <w:sz w:val="22"/>
        </w:rPr>
        <w:t>The confidence-weighted mid-level fusion stage is the core contribution of M-ACF Net. Rather than fusing sensors at the decision level (combining final object detections) or at the earliest feature level (raw concatenation of sensor signals), M-ACF Net operates at an intermediate representation level where LiDAR geometric features and stereo-derived depth features have been independently computed and are now merged into a unified spatial-semantic feature volume.</w:t>
      </w:r>
    </w:p>
    <w:p>
      <w:pPr>
        <w:pStyle w:val="Heading3"/>
      </w:pPr>
      <w:r>
        <w:t>Fusion Strategy and Confidence Modelling</w:t>
      </w:r>
    </w:p>
    <w:p>
      <w:r>
        <w:rPr>
          <w:rFonts w:ascii="Times New Roman" w:hAnsi="Times New Roman"/>
          <w:sz w:val="22"/>
        </w:rPr>
        <w:t xml:space="preserve">M-ACF Net computes per-frame, per-modality confidence scores that quantify the reliability of each sensor's feature contribution. The </w:t>
      </w:r>
      <w:r>
        <w:rPr>
          <w:rFonts w:ascii="Times New Roman" w:hAnsi="Times New Roman"/>
          <w:b/>
          <w:sz w:val="22"/>
        </w:rPr>
        <w:t>LiDAR confidence</w:t>
      </w:r>
      <w:r>
        <w:rPr>
          <w:rFonts w:ascii="Times New Roman" w:hAnsi="Times New Roman"/>
          <w:sz w:val="22"/>
        </w:rPr>
        <w:t xml:space="preserve"> C_LiDAR is derived from the ratio of valid filtered points to total raw points in the current scan — a proxy for point cloud density and data quality:</w:t>
      </w:r>
    </w:p>
    <w:p>
      <w:pPr>
        <w:spacing w:before="120" w:after="120"/>
        <w:jc w:val="center"/>
      </w:pPr>
      <w:r>
        <w:rPr>
          <w:rFonts w:ascii="Times New Roman" w:hAnsi="Times New Roman"/>
          <w:i/>
          <w:sz w:val="22"/>
        </w:rPr>
        <w:t>C_LiDAR = N_{filtered}N_{raw}</w:t>
      </w:r>
      <w:r>
        <w:t xml:space="preserve">   (5.10)</w:t>
      </w:r>
    </w:p>
    <w:p>
      <w:r>
        <w:rPr>
          <w:rFonts w:ascii="Times New Roman" w:hAnsi="Times New Roman"/>
          <w:sz w:val="22"/>
        </w:rPr>
        <w:t xml:space="preserve">High C_LiDAR (dense, well-filtered cloud) indicates reliable LiDAR geometry; low C_LiDAR (sparse cloud, as occurs with small or low-reflectance targets at range) signals degraded feature quality. The </w:t>
      </w:r>
      <w:r>
        <w:rPr>
          <w:rFonts w:ascii="Times New Roman" w:hAnsi="Times New Roman"/>
          <w:b/>
          <w:sz w:val="22"/>
        </w:rPr>
        <w:t>stereo confidence</w:t>
      </w:r>
      <w:r>
        <w:rPr>
          <w:rFonts w:ascii="Times New Roman" w:hAnsi="Times New Roman"/>
          <w:sz w:val="22"/>
        </w:rPr>
        <w:t xml:space="preserve"> C_stereo is derived from the fraction of non-occluded pixels identified by the left-right consistency check (Section 5.4.2):</w:t>
      </w:r>
    </w:p>
    <w:p>
      <w:pPr>
        <w:spacing w:before="120" w:after="120"/>
        <w:jc w:val="center"/>
      </w:pPr>
      <w:r>
        <w:rPr>
          <w:rFonts w:ascii="Times New Roman" w:hAnsi="Times New Roman"/>
          <w:i/>
          <w:sz w:val="22"/>
        </w:rPr>
        <w:t>C_stereo = 1 - N_{occ}N_{total}</w:t>
      </w:r>
      <w:r>
        <w:t xml:space="preserve">   (5.11)</w:t>
      </w:r>
    </w:p>
    <w:p>
      <w:r>
        <w:rPr>
          <w:rFonts w:ascii="Times New Roman" w:hAnsi="Times New Roman"/>
          <w:sz w:val="22"/>
        </w:rPr>
        <w:t>where N_occ is the number of pixels flagged as occluded or unreliable, and N_total is the total pixel count per frame. C_stereo approaches 1.0 in well-lit, low-occlusion conditions (high stereo reliability) and drops towards 0 under specular water reflections, fog, or heavy wave-induced occlusion.</w:t>
      </w:r>
    </w:p>
    <w:p>
      <w:pPr>
        <w:pStyle w:val="Heading3"/>
      </w:pPr>
      <w:r>
        <w:t>Dynamic Adaptive Weighting Mechanism</w:t>
      </w:r>
    </w:p>
    <w:p>
      <w:r>
        <w:rPr>
          <w:rFonts w:ascii="Times New Roman" w:hAnsi="Times New Roman"/>
          <w:sz w:val="22"/>
        </w:rPr>
        <w:t>The adaptive weighting factor α is computed from the per-frame confidence scores:</w:t>
      </w:r>
    </w:p>
    <w:p>
      <w:pPr>
        <w:spacing w:before="120" w:after="120"/>
        <w:jc w:val="center"/>
      </w:pPr>
      <w:r>
        <w:rPr>
          <w:rFonts w:ascii="Times New Roman" w:hAnsi="Times New Roman"/>
          <w:i/>
          <w:sz w:val="22"/>
        </w:rPr>
        <w:t>α = C_{LiDAR}C_{LiDAR + C_stereo}</w:t>
      </w:r>
      <w:r>
        <w:t xml:space="preserve">   (5.12)</w:t>
      </w:r>
    </w:p>
    <w:p>
      <w:r>
        <w:rPr>
          <w:rFonts w:ascii="Times New Roman" w:hAnsi="Times New Roman"/>
          <w:sz w:val="22"/>
        </w:rPr>
        <w:t>The fused feature representation is then formed as a confidence-weighted combination of the LiDAR and stereo feature branches:</w:t>
      </w:r>
    </w:p>
    <w:p>
      <w:pPr>
        <w:spacing w:before="120" w:after="120"/>
        <w:jc w:val="center"/>
      </w:pPr>
      <w:r>
        <w:rPr>
          <w:rFonts w:ascii="Times New Roman" w:hAnsi="Times New Roman"/>
          <w:i/>
          <w:sz w:val="22"/>
        </w:rPr>
        <w:t>F_fused = α · F_LiDAR (1 - α) · F_stereo</w:t>
      </w:r>
      <w:r>
        <w:t xml:space="preserve">   (5.13)</w:t>
      </w:r>
    </w:p>
    <w:p>
      <w:r>
        <w:rPr>
          <w:rFonts w:ascii="Times New Roman" w:hAnsi="Times New Roman"/>
          <w:sz w:val="22"/>
        </w:rPr>
        <w:t>where ⊕ denotes element-wise feature combination in the shared spatial representation. By construction, α + (1 − α) = 1, ensuring normalised feature contributions at every spatial location. Empirical analysis of per-frame α distributions across diverse maritime conditions confirmed that LiDAR is typically prioritised (α ≥ 0.6) owing to its resilience to lighting variations and specular water reflections. Stereo vision contributes more significantly only in close-range, well-lit scenarios (α &lt; 0.5), where its higher pixel density enhances depth precision in the near field. The fused 3D obstacle position is then computed by back-projecting the fused depth estimate into metric space:</w:t>
      </w:r>
    </w:p>
    <w:p>
      <w:pPr>
        <w:spacing w:before="120" w:after="120"/>
        <w:jc w:val="center"/>
      </w:pPr>
      <w:r>
        <w:rPr>
          <w:rFonts w:ascii="Times New Roman" w:hAnsi="Times New Roman"/>
          <w:i/>
          <w:sz w:val="22"/>
        </w:rPr>
        <w:t>( X ; Y ) = F_fused · ( (u - c_x)/f_x ; (v - c_y)/f_y )</w:t>
      </w:r>
      <w:r>
        <w:t xml:space="preserve">   (5.14)</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5.5 ]</w:t>
            </w:r>
          </w:p>
          <w:p>
            <w:pPr>
              <w:jc w:val="center"/>
            </w:pPr>
            <w:r>
              <w:rPr>
                <w:i/>
                <w:color w:val="6E6E6E"/>
                <w:sz w:val="18"/>
              </w:rPr>
              <w:t>Visualisation of per-frame confidence scores C_LiDAR and C_stereo and the resulting alpha weights across a sequence of frames with varying conditions (calm, choppy, rainy, foggy). Source: Authors.</w:t>
            </w:r>
          </w:p>
        </w:tc>
      </w:tr>
    </w:tbl>
    <w:p>
      <w:pPr>
        <w:spacing w:before="60" w:after="240"/>
        <w:jc w:val="center"/>
      </w:pPr>
      <w:r>
        <w:rPr>
          <w:rFonts w:ascii="Times New Roman" w:hAnsi="Times New Roman"/>
          <w:i/>
          <w:sz w:val="20"/>
        </w:rPr>
        <w:t>Figure 5.5. M-ACF Net adaptive confidence weighting across maritime conditions: (a) LiDAR confidence C_LiDAR; (b) stereo confidence C_stereo; (c) resulting α values demonstrating LiDAR priority (α ≥ 0.6) in most conditions.</w:t>
      </w:r>
    </w:p>
    <w:p>
      <w:pPr>
        <w:pStyle w:val="Heading2"/>
      </w:pPr>
      <w:r>
        <w:t>5.7  Post-Processing: PCA–K-Means Obstacle Clustering</w:t>
      </w:r>
    </w:p>
    <w:p>
      <w:r>
        <w:rPr>
          <w:rFonts w:ascii="Times New Roman" w:hAnsi="Times New Roman"/>
          <w:sz w:val="22"/>
        </w:rPr>
        <w:t xml:space="preserve">Following mid-level fusion, the resulting 3D feature volume is processed by a </w:t>
      </w:r>
      <w:r>
        <w:rPr>
          <w:rFonts w:ascii="Times New Roman" w:hAnsi="Times New Roman"/>
          <w:b/>
          <w:sz w:val="22"/>
        </w:rPr>
        <w:t>Hybrid PCA–K-Means</w:t>
      </w:r>
      <w:r>
        <w:rPr>
          <w:rFonts w:ascii="Times New Roman" w:hAnsi="Times New Roman"/>
          <w:sz w:val="22"/>
        </w:rPr>
        <w:t xml:space="preserve"> clustering stage that segments the fused point representation into spatially coherent obstacle candidates. This stage replaces the Euclidean clustering commonly used in LiDAR-only pipelines with an orientation-aware approach better suited to the elongated geometries of maritime obstacles (vessels, jetties, pontoons), which are poorly segmented by spherically-symmetric distance metrics.</w:t>
      </w:r>
    </w:p>
    <w:p>
      <w:pPr>
        <w:pStyle w:val="Heading3"/>
      </w:pPr>
      <w:r>
        <w:t>Principal Component Analysis for Orientation Alignment</w:t>
      </w:r>
    </w:p>
    <w:p>
      <w:r>
        <w:rPr>
          <w:rFonts w:ascii="Times New Roman" w:hAnsi="Times New Roman"/>
          <w:sz w:val="22"/>
        </w:rPr>
        <w:t>The PCA–K-Means algorithm (Algorithm 5.1) operates on the full fused point cloud. PCA first computes the mean vector μ of all N points:</w:t>
      </w:r>
    </w:p>
    <w:p>
      <w:pPr>
        <w:spacing w:before="120" w:after="120"/>
        <w:jc w:val="center"/>
      </w:pPr>
      <w:r>
        <w:rPr>
          <w:rFonts w:ascii="Times New Roman" w:hAnsi="Times New Roman"/>
          <w:i/>
          <w:sz w:val="22"/>
        </w:rPr>
        <w:t>μ = (1)/(N)_i=1^Np_i</w:t>
      </w:r>
      <w:r>
        <w:t xml:space="preserve">   (5.15)</w:t>
      </w:r>
    </w:p>
    <w:p>
      <w:r>
        <w:rPr>
          <w:rFonts w:ascii="Times New Roman" w:hAnsi="Times New Roman"/>
          <w:sz w:val="22"/>
        </w:rPr>
        <w:t>The centred covariance matrix Σ is then computed from the mean-subtracted data:</w:t>
      </w:r>
    </w:p>
    <w:p>
      <w:pPr>
        <w:spacing w:before="120" w:after="120"/>
        <w:jc w:val="center"/>
      </w:pPr>
      <w:r>
        <w:rPr>
          <w:rFonts w:ascii="Times New Roman" w:hAnsi="Times New Roman"/>
          <w:i/>
          <w:sz w:val="22"/>
        </w:rPr>
        <w:t>Σ = (1)/(N-1)\,P_c^T\,P_c</w:t>
      </w:r>
      <w:r>
        <w:t xml:space="preserve">   (5.16)</w:t>
      </w:r>
    </w:p>
    <w:p>
      <w:r>
        <w:rPr>
          <w:rFonts w:ascii="Times New Roman" w:hAnsi="Times New Roman"/>
          <w:sz w:val="22"/>
        </w:rPr>
        <w:t>where P_c is the N × 3 matrix of centred point coordinates (P_c = point_cloud − μ). Eigendecomposition of Σ yields eigenvectors (principal components) and eigenvalues:</w:t>
      </w:r>
    </w:p>
    <w:p>
      <w:pPr>
        <w:spacing w:before="120" w:after="120"/>
        <w:jc w:val="center"/>
      </w:pPr>
      <w:r>
        <w:rPr>
          <w:rFonts w:ascii="Times New Roman" w:hAnsi="Times New Roman"/>
          <w:i/>
          <w:sz w:val="22"/>
        </w:rPr>
        <w:t>Σ\,v = \,v</w:t>
      </w:r>
      <w:r>
        <w:t xml:space="preserve">   (5.17)</w:t>
      </w:r>
    </w:p>
    <w:p>
      <w:r>
        <w:rPr>
          <w:rFonts w:ascii="Times New Roman" w:hAnsi="Times New Roman"/>
          <w:sz w:val="22"/>
        </w:rPr>
        <w:t>Eigenvectors are sorted in descending order of eigenvalue — placing the direction of maximum point cloud variance (the obstacle's principal axis) first. The full point cloud is projected into the PCA-aligned frame:</w:t>
      </w:r>
    </w:p>
    <w:p>
      <w:pPr>
        <w:spacing w:before="120" w:after="120"/>
        <w:jc w:val="center"/>
      </w:pPr>
      <w:r>
        <w:rPr>
          <w:rFonts w:ascii="Times New Roman" w:hAnsi="Times New Roman"/>
          <w:i/>
          <w:sz w:val="22"/>
        </w:rPr>
        <w:t>P_PCA = P_c · V_sorted</w:t>
      </w:r>
      <w:r>
        <w:t xml:space="preserve">   (5.18)</w:t>
      </w:r>
    </w:p>
    <w:p>
      <w:r>
        <w:rPr>
          <w:rFonts w:ascii="Times New Roman" w:hAnsi="Times New Roman"/>
          <w:sz w:val="22"/>
        </w:rPr>
        <w:t>where V_sorted is the matrix of sorted eigenvectors. In this transformed space, the first dimension aligns with the obstacle's principal axis (e.g. the long axis of a vessel), enabling K-Means to cluster along physically meaningful directions rather than arbitrary Cartesian axes.</w:t>
      </w:r>
    </w:p>
    <w:p>
      <w:pPr>
        <w:pStyle w:val="Heading3"/>
      </w:pPr>
      <w:r>
        <w:t>K-Means Clustering in Transformed Space</w:t>
      </w:r>
    </w:p>
    <w:p>
      <w:r>
        <w:rPr>
          <w:rFonts w:ascii="Times New Roman" w:hAnsi="Times New Roman"/>
          <w:sz w:val="22"/>
        </w:rPr>
        <w:t>K-Means is applied to P_PCA, minimising the within-cluster sum-of-squares objective J:</w:t>
      </w:r>
    </w:p>
    <w:p>
      <w:pPr>
        <w:spacing w:before="120" w:after="120"/>
        <w:jc w:val="center"/>
      </w:pPr>
      <w:r>
        <w:rPr>
          <w:rFonts w:ascii="Times New Roman" w:hAnsi="Times New Roman"/>
          <w:i/>
          <w:sz w:val="22"/>
        </w:rPr>
        <w:t>J = _i=1^k_j=1^n_i\|x_j^(i) - μ_i\|^2</w:t>
      </w:r>
      <w:r>
        <w:t xml:space="preserve">   (5.19)</w:t>
      </w:r>
    </w:p>
    <w:p>
      <w:r>
        <w:rPr>
          <w:rFonts w:ascii="Times New Roman" w:hAnsi="Times New Roman"/>
          <w:sz w:val="22"/>
        </w:rPr>
        <w:t>K is determined adaptively from the variance captured by the first principal component — scenes in which the dominant axis explains a large fraction of total variance are assigned k = 1 (a single elongated obstacle), whilst scenes with more distributed variance receive higher k. Clustering iterates until convergence (||new_centroids − old_centroids|| &lt; ε). The best configuration across all evaluation environments was voxel size = 0.2 m with SOR threshold k = 1.5, achieving a Silhouette score of 0.70, Davies–Bouldin index of 0.50, and Calinski–Harabasz index of 60 — representing the lowest computation time (0.05 s per frame) of all evaluated clustering approaches (Table 5.7 in Section 5.10).</w:t>
      </w:r>
    </w:p>
    <w:p>
      <w:pPr>
        <w:pStyle w:val="Heading3"/>
      </w:pPr>
      <w:r>
        <w:t>Centroid and Extremity Estimation for Navigational Awareness</w:t>
      </w:r>
    </w:p>
    <w:p>
      <w:r>
        <w:rPr>
          <w:rFonts w:ascii="Times New Roman" w:hAnsi="Times New Roman"/>
          <w:sz w:val="22"/>
        </w:rPr>
        <w:t xml:space="preserve">For each valid cluster, M-ACF Net computes two navigational estimates: the </w:t>
      </w:r>
      <w:r>
        <w:rPr>
          <w:rFonts w:ascii="Times New Roman" w:hAnsi="Times New Roman"/>
          <w:b/>
          <w:sz w:val="22"/>
        </w:rPr>
        <w:t>centroid</w:t>
      </w:r>
      <w:r>
        <w:rPr>
          <w:rFonts w:ascii="Times New Roman" w:hAnsi="Times New Roman"/>
          <w:sz w:val="22"/>
        </w:rPr>
        <w:t xml:space="preserve"> (arithmetic mean of all cluster point positions), representing the obstacle's geometric centre; and the </w:t>
      </w:r>
      <w:r>
        <w:rPr>
          <w:rFonts w:ascii="Times New Roman" w:hAnsi="Times New Roman"/>
          <w:b/>
          <w:sz w:val="22"/>
        </w:rPr>
        <w:t>principal component extremity</w:t>
      </w:r>
      <w:r>
        <w:rPr>
          <w:rFonts w:ascii="Times New Roman" w:hAnsi="Times New Roman"/>
          <w:sz w:val="22"/>
        </w:rPr>
        <w:t xml:space="preserve"> — the cluster point with the highest absolute value along the first principal component (PC1), representing the closest physical surface of the obstacle to the USV along its dominant axis. Both estimates are transmitted to the GNC system via the obstacle communication message. The extremity-based estimate is used to compute the safe standoff margin for avoidance manoeuvres, as it consistently provides earlier and more conservative collision warnings than the centroid estimate for elongated or large obstacles.</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5.6 ]</w:t>
            </w:r>
          </w:p>
          <w:p>
            <w:pPr>
              <w:jc w:val="center"/>
            </w:pPr>
            <w:r>
              <w:rPr>
                <w:i/>
                <w:color w:val="6E6E6E"/>
                <w:sz w:val="18"/>
              </w:rPr>
              <w:t>Visualisation of PCA–K-Means clustering output: colour-coded obstacle clusters with centroid and nearest-extremity markers overlaid on camera view. Source: Authors.</w:t>
            </w:r>
          </w:p>
        </w:tc>
      </w:tr>
    </w:tbl>
    <w:p>
      <w:pPr>
        <w:spacing w:before="60" w:after="240"/>
        <w:jc w:val="center"/>
      </w:pPr>
      <w:r>
        <w:rPr>
          <w:rFonts w:ascii="Times New Roman" w:hAnsi="Times New Roman"/>
          <w:i/>
          <w:sz w:val="20"/>
        </w:rPr>
        <w:t>Figure 5.6. PCA–K-Means obstacle clustering result: colour-coded clusters with centroid (circle) and nearest-extremity (diamond) positions annotated for each detected obstacle.</w:t>
      </w:r>
    </w:p>
    <w:p>
      <w:pPr>
        <w:pStyle w:val="Heading2"/>
      </w:pPr>
      <w:r>
        <w:t>5.8  Dataset Collection and Preprocessing</w:t>
      </w:r>
    </w:p>
    <w:p>
      <w:r>
        <w:rPr>
          <w:rFonts w:ascii="Times New Roman" w:hAnsi="Times New Roman"/>
          <w:sz w:val="22"/>
        </w:rPr>
        <w:t xml:space="preserve">A dedicated multi-modal dataset was collected aboard the Suraya Riptide across Malaysian near-shore and inland waterways, providing a representative distribution of the obstacle categories and environmental conditions encountered in real USV operations. The dataset encompasses three primary obstacle categories: </w:t>
      </w:r>
      <w:r>
        <w:rPr>
          <w:rFonts w:ascii="Times New Roman" w:hAnsi="Times New Roman"/>
          <w:b/>
          <w:sz w:val="22"/>
        </w:rPr>
        <w:t>boats</w:t>
      </w:r>
      <w:r>
        <w:rPr>
          <w:rFonts w:ascii="Times New Roman" w:hAnsi="Times New Roman"/>
          <w:sz w:val="22"/>
        </w:rPr>
        <w:t xml:space="preserve"> (fishing vessels, cargo ships, kayaks) constituting 62% of all annotated instances; </w:t>
      </w:r>
      <w:r>
        <w:rPr>
          <w:rFonts w:ascii="Times New Roman" w:hAnsi="Times New Roman"/>
          <w:b/>
          <w:sz w:val="22"/>
        </w:rPr>
        <w:t>structures</w:t>
      </w:r>
      <w:r>
        <w:rPr>
          <w:rFonts w:ascii="Times New Roman" w:hAnsi="Times New Roman"/>
          <w:sz w:val="22"/>
        </w:rPr>
        <w:t xml:space="preserve"> (piers, buoys, floating barriers) constituting 23%; and </w:t>
      </w:r>
      <w:r>
        <w:rPr>
          <w:rFonts w:ascii="Times New Roman" w:hAnsi="Times New Roman"/>
          <w:b/>
          <w:sz w:val="22"/>
        </w:rPr>
        <w:t>dynamic obstacles</w:t>
      </w:r>
      <w:r>
        <w:rPr>
          <w:rFonts w:ascii="Times New Roman" w:hAnsi="Times New Roman"/>
          <w:sz w:val="22"/>
        </w:rPr>
        <w:t xml:space="preserve"> (drifting debris, human activity) constituting the remaining 15%.</w:t>
      </w:r>
    </w:p>
    <w:p>
      <w:pPr>
        <w:pStyle w:val="Heading3"/>
      </w:pPr>
      <w:r>
        <w:t>Multi-Modal, Multi-Environment Dataset Overview</w:t>
      </w:r>
    </w:p>
    <w:p>
      <w:r>
        <w:rPr>
          <w:rFonts w:ascii="Times New Roman" w:hAnsi="Times New Roman"/>
          <w:sz w:val="22"/>
        </w:rPr>
        <w:t>Data were recorded synchronously from the Velodyne HDL-32E at 10 Hz and the ZED 2i stereo camera at 20 Hz, with timestamps aligned to the GNSS PPS signal to within ±2 ms. GNSS/INS data were decoded to CSV in the UTM coordinate system, providing the georeferenced ground truth for obstacle position validation in controlled ranging trials at Taman Tasik Metropolitan (a lake environment with fixed reference targets at known RTK-GNSS positions). LiDAR data were stored as PCD files; stereo image sequences were saved as rectified sequential JPEG folders; all data were packaged in ROS bag format for offline playback and annotation.</w:t>
      </w:r>
    </w:p>
    <w:p>
      <w:pPr>
        <w:spacing w:before="240" w:after="60"/>
      </w:pPr>
      <w:r>
        <w:rPr>
          <w:rFonts w:ascii="Times New Roman" w:hAnsi="Times New Roman"/>
          <w:b/>
          <w:sz w:val="20"/>
        </w:rPr>
        <w:t>Table 5.4. Multi-modal dataset composition: obstacle categories and sensor configuration during collection (Velodyne HDL-32E + Stereolabs ZED 2i).</w:t>
      </w:r>
    </w:p>
    <w:tbl>
      <w:tblPr>
        <w:tblStyle w:val="TableGrid"/>
        <w:tblW w:type="auto" w:w="0"/>
        <w:tblLook w:firstColumn="1" w:firstRow="1" w:lastColumn="0" w:lastRow="0" w:noHBand="0" w:noVBand="1" w:val="04A0"/>
      </w:tblPr>
      <w:tblGrid>
        <w:gridCol w:w="1152"/>
        <w:gridCol w:w="1152"/>
        <w:gridCol w:w="1152"/>
        <w:gridCol w:w="1152"/>
        <w:gridCol w:w="1152"/>
      </w:tblGrid>
      <w:tr>
        <w:tc>
          <w:tcPr>
            <w:tcW w:type="dxa" w:w="1152"/>
            <w:shd w:val="clear" w:color="auto" w:fill="CCCCCC"/>
          </w:tcPr>
          <w:p>
            <w:r>
              <w:rPr>
                <w:rFonts w:ascii="Times New Roman" w:hAnsi="Times New Roman"/>
                <w:b/>
                <w:sz w:val="20"/>
              </w:rPr>
              <w:t>Obstacle Category</w:t>
            </w:r>
          </w:p>
        </w:tc>
        <w:tc>
          <w:tcPr>
            <w:tcW w:type="dxa" w:w="1152"/>
            <w:shd w:val="clear" w:color="auto" w:fill="CCCCCC"/>
          </w:tcPr>
          <w:p>
            <w:r>
              <w:rPr>
                <w:rFonts w:ascii="Times New Roman" w:hAnsi="Times New Roman"/>
                <w:b/>
                <w:sz w:val="20"/>
              </w:rPr>
              <w:t>Examples</w:t>
            </w:r>
          </w:p>
        </w:tc>
        <w:tc>
          <w:tcPr>
            <w:tcW w:type="dxa" w:w="1152"/>
            <w:shd w:val="clear" w:color="auto" w:fill="CCCCCC"/>
          </w:tcPr>
          <w:p>
            <w:r>
              <w:rPr>
                <w:rFonts w:ascii="Times New Roman" w:hAnsi="Times New Roman"/>
                <w:b/>
                <w:sz w:val="20"/>
              </w:rPr>
              <w:t>% of Instances</w:t>
            </w:r>
          </w:p>
        </w:tc>
        <w:tc>
          <w:tcPr>
            <w:tcW w:type="dxa" w:w="1152"/>
            <w:shd w:val="clear" w:color="auto" w:fill="CCCCCC"/>
          </w:tcPr>
          <w:p>
            <w:r>
              <w:rPr>
                <w:rFonts w:ascii="Times New Roman" w:hAnsi="Times New Roman"/>
                <w:b/>
                <w:sz w:val="20"/>
              </w:rPr>
              <w:t>Sensor Modalities</w:t>
            </w:r>
          </w:p>
        </w:tc>
        <w:tc>
          <w:tcPr>
            <w:tcW w:type="dxa" w:w="1152"/>
            <w:shd w:val="clear" w:color="auto" w:fill="CCCCCC"/>
          </w:tcPr>
          <w:p>
            <w:r>
              <w:rPr>
                <w:rFonts w:ascii="Times New Roman" w:hAnsi="Times New Roman"/>
                <w:b/>
                <w:sz w:val="20"/>
              </w:rPr>
              <w:t>Rate</w:t>
            </w:r>
          </w:p>
        </w:tc>
      </w:tr>
      <w:tr>
        <w:tc>
          <w:tcPr>
            <w:tcW w:type="dxa" w:w="1152"/>
          </w:tcPr>
          <w:p>
            <w:r>
              <w:rPr>
                <w:rFonts w:ascii="Times New Roman" w:hAnsi="Times New Roman"/>
                <w:sz w:val="20"/>
              </w:rPr>
              <w:t>Boats</w:t>
            </w:r>
          </w:p>
        </w:tc>
        <w:tc>
          <w:tcPr>
            <w:tcW w:type="dxa" w:w="1152"/>
          </w:tcPr>
          <w:p>
            <w:r>
              <w:rPr>
                <w:rFonts w:ascii="Times New Roman" w:hAnsi="Times New Roman"/>
                <w:sz w:val="20"/>
              </w:rPr>
              <w:t>Fishing vessels, cargo, kayaks</w:t>
            </w:r>
          </w:p>
        </w:tc>
        <w:tc>
          <w:tcPr>
            <w:tcW w:type="dxa" w:w="1152"/>
          </w:tcPr>
          <w:p>
            <w:r>
              <w:rPr>
                <w:rFonts w:ascii="Times New Roman" w:hAnsi="Times New Roman"/>
                <w:sz w:val="20"/>
              </w:rPr>
              <w:t>62%</w:t>
            </w:r>
          </w:p>
        </w:tc>
        <w:tc>
          <w:tcPr>
            <w:tcW w:type="dxa" w:w="1152"/>
          </w:tcPr>
          <w:p>
            <w:r>
              <w:rPr>
                <w:rFonts w:ascii="Times New Roman" w:hAnsi="Times New Roman"/>
                <w:sz w:val="20"/>
              </w:rPr>
              <w:t>LiDAR + Stereo</w:t>
            </w:r>
          </w:p>
        </w:tc>
        <w:tc>
          <w:tcPr>
            <w:tcW w:type="dxa" w:w="1152"/>
          </w:tcPr>
          <w:p>
            <w:r>
              <w:rPr>
                <w:rFonts w:ascii="Times New Roman" w:hAnsi="Times New Roman"/>
                <w:sz w:val="20"/>
              </w:rPr>
              <w:t>10/20 Hz</w:t>
            </w:r>
          </w:p>
        </w:tc>
      </w:tr>
      <w:tr>
        <w:tc>
          <w:tcPr>
            <w:tcW w:type="dxa" w:w="1152"/>
          </w:tcPr>
          <w:p>
            <w:r>
              <w:rPr>
                <w:rFonts w:ascii="Times New Roman" w:hAnsi="Times New Roman"/>
                <w:sz w:val="20"/>
              </w:rPr>
              <w:t>Structures</w:t>
            </w:r>
          </w:p>
        </w:tc>
        <w:tc>
          <w:tcPr>
            <w:tcW w:type="dxa" w:w="1152"/>
          </w:tcPr>
          <w:p>
            <w:r>
              <w:rPr>
                <w:rFonts w:ascii="Times New Roman" w:hAnsi="Times New Roman"/>
                <w:sz w:val="20"/>
              </w:rPr>
              <w:t>Piers, buoys, floating barriers</w:t>
            </w:r>
          </w:p>
        </w:tc>
        <w:tc>
          <w:tcPr>
            <w:tcW w:type="dxa" w:w="1152"/>
          </w:tcPr>
          <w:p>
            <w:r>
              <w:rPr>
                <w:rFonts w:ascii="Times New Roman" w:hAnsi="Times New Roman"/>
                <w:sz w:val="20"/>
              </w:rPr>
              <w:t>23%</w:t>
            </w:r>
          </w:p>
        </w:tc>
        <w:tc>
          <w:tcPr>
            <w:tcW w:type="dxa" w:w="1152"/>
          </w:tcPr>
          <w:p>
            <w:r>
              <w:rPr>
                <w:rFonts w:ascii="Times New Roman" w:hAnsi="Times New Roman"/>
                <w:sz w:val="20"/>
              </w:rPr>
              <w:t>LiDAR + Stereo</w:t>
            </w:r>
          </w:p>
        </w:tc>
        <w:tc>
          <w:tcPr>
            <w:tcW w:type="dxa" w:w="1152"/>
          </w:tcPr>
          <w:p>
            <w:r>
              <w:rPr>
                <w:rFonts w:ascii="Times New Roman" w:hAnsi="Times New Roman"/>
                <w:sz w:val="20"/>
              </w:rPr>
              <w:t>10/20 Hz</w:t>
            </w:r>
          </w:p>
        </w:tc>
      </w:tr>
      <w:tr>
        <w:tc>
          <w:tcPr>
            <w:tcW w:type="dxa" w:w="1152"/>
          </w:tcPr>
          <w:p>
            <w:r>
              <w:rPr>
                <w:rFonts w:ascii="Times New Roman" w:hAnsi="Times New Roman"/>
                <w:sz w:val="20"/>
              </w:rPr>
              <w:t>Dynamic obstacles</w:t>
            </w:r>
          </w:p>
        </w:tc>
        <w:tc>
          <w:tcPr>
            <w:tcW w:type="dxa" w:w="1152"/>
          </w:tcPr>
          <w:p>
            <w:r>
              <w:rPr>
                <w:rFonts w:ascii="Times New Roman" w:hAnsi="Times New Roman"/>
                <w:sz w:val="20"/>
              </w:rPr>
              <w:t>Drifting debris, human activity</w:t>
            </w:r>
          </w:p>
        </w:tc>
        <w:tc>
          <w:tcPr>
            <w:tcW w:type="dxa" w:w="1152"/>
          </w:tcPr>
          <w:p>
            <w:r>
              <w:rPr>
                <w:rFonts w:ascii="Times New Roman" w:hAnsi="Times New Roman"/>
                <w:sz w:val="20"/>
              </w:rPr>
              <w:t>15%</w:t>
            </w:r>
          </w:p>
        </w:tc>
        <w:tc>
          <w:tcPr>
            <w:tcW w:type="dxa" w:w="1152"/>
          </w:tcPr>
          <w:p>
            <w:r>
              <w:rPr>
                <w:rFonts w:ascii="Times New Roman" w:hAnsi="Times New Roman"/>
                <w:sz w:val="20"/>
              </w:rPr>
              <w:t>LiDAR + Stereo</w:t>
            </w:r>
          </w:p>
        </w:tc>
        <w:tc>
          <w:tcPr>
            <w:tcW w:type="dxa" w:w="1152"/>
          </w:tcPr>
          <w:p>
            <w:r>
              <w:rPr>
                <w:rFonts w:ascii="Times New Roman" w:hAnsi="Times New Roman"/>
                <w:sz w:val="20"/>
              </w:rPr>
              <w:t>10/20 Hz</w:t>
            </w:r>
          </w:p>
        </w:tc>
      </w:tr>
    </w:tbl>
    <w:p>
      <w:pPr>
        <w:spacing w:after="120"/>
      </w:pPr>
    </w:p>
    <w:p>
      <w:pPr>
        <w:pStyle w:val="Heading3"/>
      </w:pPr>
      <w:r>
        <w:t>Data Collection Procedures and Preprocessing Pipeline</w:t>
      </w:r>
    </w:p>
    <w:p>
      <w:r>
        <w:rPr>
          <w:rFonts w:ascii="Times New Roman" w:hAnsi="Times New Roman"/>
          <w:sz w:val="22"/>
        </w:rPr>
        <w:t>All sequences were post-processed to extract temporally aligned LiDAR–stereo frame pairs, discarding frames affected by sensor start-up transients or communication dropouts. Bounding box annotations for detected obstacle instances were produced via a semi-automated pipeline: camera-frame 2D bounding boxes were annotated by domain experts, and 3D LiDAR annotations were derived automatically via the extrinsic calibration projection, ensuring label consistency across modalities. The annotation format is compatible with both 2D (YOLO) and 3D (KITTI) evaluation protocols, enabling benchmarking against both 2D detection and 3D localisation baselines.</w:t>
      </w:r>
    </w:p>
    <w:p>
      <w:pPr>
        <w:pStyle w:val="Heading2"/>
      </w:pPr>
      <w:r>
        <w:t>5.9  GNC Integration and System Deployment</w:t>
      </w:r>
    </w:p>
    <w:p>
      <w:r>
        <w:rPr>
          <w:rFonts w:ascii="Times New Roman" w:hAnsi="Times New Roman"/>
          <w:sz w:val="22"/>
        </w:rPr>
        <w:t>The M-ACF Net perception pipeline is integrated into a complete Guidance, Navigation, and Control (GNC) architecture that enables autonomous mission execution and reactive collision avoidance aboard the Suraya Riptide. The GNC system receives obstacle state estimates — position, estimated heading, and spatial extent — from the M-ACF Net clustering module and translates these into navigation decisions at the mission planning and actuator control layers.</w:t>
      </w:r>
    </w:p>
    <w:p>
      <w:pPr>
        <w:pStyle w:val="Heading3"/>
      </w:pPr>
      <w:r>
        <w:t>System Architecture and Communication Framework</w:t>
      </w:r>
    </w:p>
    <w:p>
      <w:r>
        <w:rPr>
          <w:rFonts w:ascii="Times New Roman" w:hAnsi="Times New Roman"/>
          <w:sz w:val="22"/>
        </w:rPr>
        <w:t xml:space="preserve">The GNC system is structured around a hierarchical two-layer control architecture. The </w:t>
      </w:r>
      <w:r>
        <w:rPr>
          <w:rFonts w:ascii="Times New Roman" w:hAnsi="Times New Roman"/>
          <w:b/>
          <w:sz w:val="22"/>
        </w:rPr>
        <w:t>high-level controller</w:t>
      </w:r>
      <w:r>
        <w:rPr>
          <w:rFonts w:ascii="Times New Roman" w:hAnsi="Times New Roman"/>
          <w:sz w:val="22"/>
        </w:rPr>
        <w:t xml:space="preserve"> (global and local planners) operates on the obstacle map maintained by M-ACF Net, computing waypoint-following trajectories and reactive avoidance manoeuvres in the global reference frame. The </w:t>
      </w:r>
      <w:r>
        <w:rPr>
          <w:rFonts w:ascii="Times New Roman" w:hAnsi="Times New Roman"/>
          <w:b/>
          <w:sz w:val="22"/>
        </w:rPr>
        <w:t>low-level controller</w:t>
      </w:r>
      <w:r>
        <w:rPr>
          <w:rFonts w:ascii="Times New Roman" w:hAnsi="Times New Roman"/>
          <w:sz w:val="22"/>
        </w:rPr>
        <w:t xml:space="preserve"> translates high-level velocity and heading commands into PWM actuator signals for the propulsion and steering systems of the Riptide. Communication between the perception and GNC subsystems uses a structured message protocol analogous to the NMEA-based VIP module described in Chapter 4, transmitting obstacle position, range, and confidence metadata at each perception cycle.</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5.7 ]</w:t>
            </w:r>
          </w:p>
          <w:p>
            <w:pPr>
              <w:jc w:val="center"/>
            </w:pPr>
            <w:r>
              <w:rPr>
                <w:i/>
                <w:color w:val="6E6E6E"/>
                <w:sz w:val="18"/>
              </w:rPr>
              <w:t>Block diagram of the GNC architecture: high-level planner → local planner → obstacle manager → low-level actuator controller, with M-ACF Net perception inputs annotated. Source: Authors.</w:t>
            </w:r>
          </w:p>
        </w:tc>
      </w:tr>
    </w:tbl>
    <w:p>
      <w:pPr>
        <w:spacing w:before="60" w:after="240"/>
        <w:jc w:val="center"/>
      </w:pPr>
      <w:r>
        <w:rPr>
          <w:rFonts w:ascii="Times New Roman" w:hAnsi="Times New Roman"/>
          <w:i/>
          <w:sz w:val="20"/>
        </w:rPr>
        <w:t>Figure 5.7. GNC system architecture for the Suraya Riptide: hierarchical control structure from M-ACF Net perception outputs to actuator commands.</w:t>
      </w:r>
    </w:p>
    <w:p>
      <w:pPr>
        <w:pStyle w:val="Heading3"/>
      </w:pPr>
      <w:r>
        <w:t>Guidance, Navigation, and Obstacle Avoidance Behaviours</w:t>
      </w:r>
    </w:p>
    <w:p>
      <w:r>
        <w:rPr>
          <w:rFonts w:ascii="Times New Roman" w:hAnsi="Times New Roman"/>
          <w:sz w:val="22"/>
        </w:rPr>
        <w:t>Detected obstacles are transmitted from the M-ACF Net perception node to the GNC system via a UDP client-server communication link using a custom NMEA-compliant obstacle message format:</w:t>
      </w:r>
    </w:p>
    <w:p>
      <w:pPr>
        <w:spacing w:before="80" w:after="120"/>
        <w:ind w:left="576"/>
      </w:pPr>
      <w:r>
        <w:rPr>
          <w:rFonts w:ascii="Courier New" w:hAnsi="Courier New"/>
          <w:sz w:val="18"/>
        </w:rPr>
        <w:t>$ODOBJ,&lt;TOD&gt;,&lt;CIO&gt;,&lt;id&gt;,&lt;x&gt;,&lt;y&gt;,&lt;z&gt;,&lt;W&gt;,&lt;H&gt;,&lt;L&gt;,&lt;D&gt;*&lt;cc&gt;CRLF</w:t>
      </w:r>
    </w:p>
    <w:p>
      <w:r>
        <w:rPr>
          <w:rFonts w:ascii="Times New Roman" w:hAnsi="Times New Roman"/>
          <w:sz w:val="22"/>
        </w:rPr>
        <w:t>where TOD = total objects detected; CIO = current object index; id = object tracking identifier; x, y, z = obstacle coordinates in metres; W, H, L = obstacle width, height, and length; D = distance from sensor; cc = XOR checksum. The message format extends the VIP protocol used in the ESA system (Chapter 4) by adding the z-coordinate for full 3D obstacle position reporting, enabling the GNC system to reason about obstacle elevation and cross-validate LiDAR and stereo height estimates.</w:t>
      </w:r>
    </w:p>
    <w:p>
      <w:r>
        <w:rPr>
          <w:rFonts w:ascii="Times New Roman" w:hAnsi="Times New Roman"/>
          <w:sz w:val="22"/>
        </w:rPr>
        <w:t>Obstacle coordinates are transformed from the sensor frame to the GNC navigation frame using a geodetic conversion that references all obstacle positions relative to a fixed mission-start georeferenced origin (λ_ref, φ_ref, A_ref):</w:t>
      </w:r>
    </w:p>
    <w:p>
      <w:pPr>
        <w:spacing w:before="120" w:after="120"/>
        <w:jc w:val="center"/>
      </w:pPr>
      <w:r>
        <w:rPr>
          <w:rFonts w:ascii="Times New Roman" w:hAnsi="Times New Roman"/>
          <w:i/>
          <w:sz w:val="22"/>
        </w:rPr>
        <w:t>(x ; y ; z) = (k( - _ref)cosφ ; k(φ - φ_ref) ; A - A_ref)</w:t>
      </w:r>
      <w:r>
        <w:t xml:space="preserve">   (5.20)</w:t>
      </w:r>
    </w:p>
    <w:p>
      <w:r>
        <w:rPr>
          <w:rFonts w:ascii="Times New Roman" w:hAnsi="Times New Roman"/>
          <w:sz w:val="22"/>
        </w:rPr>
        <w:t>where k ≈ 111,320 m/° is the standard geodetic conversion factor. Magnetic heading is corrected to true heading by applying the local magnetic variation Δ_m supplied by the compass: θ_true = θ_magnetic + Δ_m. The global planner manages waypoint-following trajectories; the local planner implements reactive avoidance using a Closest Point of Approach (CPA) objective function to identify heading–speed combinations that maintain safe clearance from all reported obstacles under COLREGs constraints.</w:t>
      </w:r>
    </w:p>
    <w:p>
      <w:pPr>
        <w:pStyle w:val="Heading2"/>
      </w:pPr>
      <w:r>
        <w:t>5.10  Experimental Validation and Results</w:t>
      </w:r>
    </w:p>
    <w:p>
      <w:pPr>
        <w:pStyle w:val="Heading3"/>
      </w:pPr>
      <w:r>
        <w:t>LiDAR Preprocessing and Stereo Feature Extraction Performance</w:t>
      </w:r>
    </w:p>
    <w:p>
      <w:r>
        <w:rPr>
          <w:rFonts w:ascii="Times New Roman" w:hAnsi="Times New Roman"/>
          <w:sz w:val="22"/>
        </w:rPr>
        <w:t xml:space="preserve">LiDAR preprocessing (voxel downsampling at 0.2 m, SOR with k = 1.5, and FOV filtering) achieved an F1-score of </w:t>
      </w:r>
      <w:r>
        <w:rPr>
          <w:rFonts w:ascii="Times New Roman" w:hAnsi="Times New Roman"/>
          <w:b/>
          <w:sz w:val="22"/>
        </w:rPr>
        <w:t>0.85</w:t>
      </w:r>
      <w:r>
        <w:rPr>
          <w:rFonts w:ascii="Times New Roman" w:hAnsi="Times New Roman"/>
          <w:sz w:val="22"/>
        </w:rPr>
        <w:t xml:space="preserve"> on the evaluation dataset, reducing mean cloud density by 8.0% whilst preserving the geometric structure of maritime obstacles. Stereo disparity estimation and Pseudo-LiDAR generation executed at </w:t>
      </w:r>
      <w:r>
        <w:rPr>
          <w:rFonts w:ascii="Times New Roman" w:hAnsi="Times New Roman"/>
          <w:b/>
          <w:sz w:val="22"/>
        </w:rPr>
        <w:t>9.8 ± 1.3 ms per frame</w:t>
      </w:r>
      <w:r>
        <w:rPr>
          <w:rFonts w:ascii="Times New Roman" w:hAnsi="Times New Roman"/>
          <w:sz w:val="22"/>
        </w:rPr>
        <w:t xml:space="preserve"> on the NVIDIA Jetson Orin NX — corresponding to a potential throughput of 102 FPS, substantially faster than the 20 Hz LiDAR acquisition rate and ensuring that stereo processing is never the pipeline bottleneck. The complete M-ACF Net system operates at </w:t>
      </w:r>
      <w:r>
        <w:rPr>
          <w:rFonts w:ascii="Times New Roman" w:hAnsi="Times New Roman"/>
          <w:b/>
          <w:sz w:val="22"/>
        </w:rPr>
        <w:t>18–25 FPS</w:t>
      </w:r>
      <w:r>
        <w:rPr>
          <w:rFonts w:ascii="Times New Roman" w:hAnsi="Times New Roman"/>
          <w:sz w:val="22"/>
        </w:rPr>
        <w:t xml:space="preserve"> end-to-end, well within the real-time constraint of &lt;100 ms per frame defined for USV navigation.</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5.8 ]</w:t>
            </w:r>
          </w:p>
          <w:p>
            <w:pPr>
              <w:jc w:val="center"/>
            </w:pPr>
            <w:r>
              <w:rPr>
                <w:i/>
                <w:color w:val="6E6E6E"/>
                <w:sz w:val="18"/>
              </w:rPr>
              <w:t>Bar chart showing per-stage processing latency (LiDAR preprocessing, stereo disparity, pseudo-LiDAR, confidence fusion, PCA-KMeans, GNC transmission) on the NVIDIA Jetson Orin NX. Source: Authors.</w:t>
            </w:r>
          </w:p>
        </w:tc>
      </w:tr>
    </w:tbl>
    <w:p>
      <w:pPr>
        <w:spacing w:before="60" w:after="240"/>
        <w:jc w:val="center"/>
      </w:pPr>
      <w:r>
        <w:rPr>
          <w:rFonts w:ascii="Times New Roman" w:hAnsi="Times New Roman"/>
          <w:i/>
          <w:sz w:val="20"/>
        </w:rPr>
        <w:t>Figure 5.8. M-ACF Net per-stage processing latency on the NVIDIA Jetson Orin NX, demonstrating end-to-end throughput of 18–25 FPS (stereo branch: 9.8 ± 1.3 ms; total pipeline: &lt;55 ms under calm conditions).</w:t>
      </w:r>
    </w:p>
    <w:p>
      <w:pPr>
        <w:pStyle w:val="Heading3"/>
      </w:pPr>
      <w:r>
        <w:t>Fusion Performance: Quantitative Analysis</w:t>
      </w:r>
    </w:p>
    <w:p>
      <w:r>
        <w:rPr>
          <w:rFonts w:ascii="Times New Roman" w:hAnsi="Times New Roman"/>
          <w:sz w:val="22"/>
        </w:rPr>
        <w:t>Fusion performance was evaluated by comparing depth estimation RMSE and outlier reduction against raw (unweighted) sensor inputs and four alternative fusion baselines across five maritime environmental conditions. Table 5.5 summarises the results.</w:t>
      </w:r>
    </w:p>
    <w:p>
      <w:pPr>
        <w:spacing w:before="240" w:after="60"/>
      </w:pPr>
      <w:r>
        <w:rPr>
          <w:rFonts w:ascii="Times New Roman" w:hAnsi="Times New Roman"/>
          <w:b/>
          <w:sz w:val="20"/>
        </w:rPr>
        <w:t>Table 5.5. Mid-level fusion performance: RMSE and outlier reduction under five maritime environmental conditions (M-ACF Net vs. raw sensor input).</w:t>
      </w:r>
    </w:p>
    <w:tbl>
      <w:tblPr>
        <w:tblStyle w:val="TableGrid"/>
        <w:tblW w:type="auto" w:w="0"/>
        <w:tblLook w:firstColumn="1" w:firstRow="1" w:lastColumn="0" w:lastRow="0" w:noHBand="0" w:noVBand="1" w:val="04A0"/>
      </w:tblPr>
      <w:tblGrid>
        <w:gridCol w:w="1152"/>
        <w:gridCol w:w="1152"/>
        <w:gridCol w:w="1152"/>
        <w:gridCol w:w="1152"/>
        <w:gridCol w:w="1152"/>
      </w:tblGrid>
      <w:tr>
        <w:tc>
          <w:tcPr>
            <w:tcW w:type="dxa" w:w="1152"/>
            <w:shd w:val="clear" w:color="auto" w:fill="CCCCCC"/>
          </w:tcPr>
          <w:p>
            <w:r>
              <w:rPr>
                <w:rFonts w:ascii="Times New Roman" w:hAnsi="Times New Roman"/>
                <w:b/>
                <w:sz w:val="20"/>
              </w:rPr>
              <w:t>Condition</w:t>
            </w:r>
          </w:p>
        </w:tc>
        <w:tc>
          <w:tcPr>
            <w:tcW w:type="dxa" w:w="1152"/>
            <w:shd w:val="clear" w:color="auto" w:fill="CCCCCC"/>
          </w:tcPr>
          <w:p>
            <w:r>
              <w:rPr>
                <w:rFonts w:ascii="Times New Roman" w:hAnsi="Times New Roman"/>
                <w:b/>
                <w:sz w:val="20"/>
              </w:rPr>
              <w:t>RMSE Raw (m)</w:t>
            </w:r>
          </w:p>
        </w:tc>
        <w:tc>
          <w:tcPr>
            <w:tcW w:type="dxa" w:w="1152"/>
            <w:shd w:val="clear" w:color="auto" w:fill="CCCCCC"/>
          </w:tcPr>
          <w:p>
            <w:r>
              <w:rPr>
                <w:rFonts w:ascii="Times New Roman" w:hAnsi="Times New Roman"/>
                <w:b/>
                <w:sz w:val="20"/>
              </w:rPr>
              <w:t>RMSE Fused (m)</w:t>
            </w:r>
          </w:p>
        </w:tc>
        <w:tc>
          <w:tcPr>
            <w:tcW w:type="dxa" w:w="1152"/>
            <w:shd w:val="clear" w:color="auto" w:fill="CCCCCC"/>
          </w:tcPr>
          <w:p>
            <w:r>
              <w:rPr>
                <w:rFonts w:ascii="Times New Roman" w:hAnsi="Times New Roman"/>
                <w:b/>
                <w:sz w:val="20"/>
              </w:rPr>
              <w:t>Outlier Reduction (%)</w:t>
            </w:r>
          </w:p>
        </w:tc>
        <w:tc>
          <w:tcPr>
            <w:tcW w:type="dxa" w:w="1152"/>
            <w:shd w:val="clear" w:color="auto" w:fill="CCCCCC"/>
          </w:tcPr>
          <w:p>
            <w:r>
              <w:rPr>
                <w:rFonts w:ascii="Times New Roman" w:hAnsi="Times New Roman"/>
                <w:b/>
                <w:sz w:val="20"/>
              </w:rPr>
              <w:t>Process Time (ms)</w:t>
            </w:r>
          </w:p>
        </w:tc>
      </w:tr>
      <w:tr>
        <w:tc>
          <w:tcPr>
            <w:tcW w:type="dxa" w:w="1152"/>
          </w:tcPr>
          <w:p>
            <w:r>
              <w:rPr>
                <w:rFonts w:ascii="Times New Roman" w:hAnsi="Times New Roman"/>
                <w:sz w:val="20"/>
              </w:rPr>
              <w:t>Calm Waters</w:t>
            </w:r>
          </w:p>
        </w:tc>
        <w:tc>
          <w:tcPr>
            <w:tcW w:type="dxa" w:w="1152"/>
          </w:tcPr>
          <w:p>
            <w:r>
              <w:rPr>
                <w:rFonts w:ascii="Times New Roman" w:hAnsi="Times New Roman"/>
                <w:sz w:val="20"/>
              </w:rPr>
              <w:t>1.2 ± 0.3</w:t>
            </w:r>
          </w:p>
        </w:tc>
        <w:tc>
          <w:tcPr>
            <w:tcW w:type="dxa" w:w="1152"/>
          </w:tcPr>
          <w:p>
            <w:r>
              <w:rPr>
                <w:rFonts w:ascii="Times New Roman" w:hAnsi="Times New Roman"/>
                <w:sz w:val="20"/>
              </w:rPr>
              <w:t>0.6 ± 0.1</w:t>
            </w:r>
          </w:p>
        </w:tc>
        <w:tc>
          <w:tcPr>
            <w:tcW w:type="dxa" w:w="1152"/>
          </w:tcPr>
          <w:p>
            <w:r>
              <w:rPr>
                <w:rFonts w:ascii="Times New Roman" w:hAnsi="Times New Roman"/>
                <w:sz w:val="20"/>
              </w:rPr>
              <w:t>72.5</w:t>
            </w:r>
          </w:p>
        </w:tc>
        <w:tc>
          <w:tcPr>
            <w:tcW w:type="dxa" w:w="1152"/>
          </w:tcPr>
          <w:p>
            <w:r>
              <w:rPr>
                <w:rFonts w:ascii="Times New Roman" w:hAnsi="Times New Roman"/>
                <w:sz w:val="20"/>
              </w:rPr>
              <w:t>45</w:t>
            </w:r>
          </w:p>
        </w:tc>
      </w:tr>
      <w:tr>
        <w:tc>
          <w:tcPr>
            <w:tcW w:type="dxa" w:w="1152"/>
          </w:tcPr>
          <w:p>
            <w:r>
              <w:rPr>
                <w:rFonts w:ascii="Times New Roman" w:hAnsi="Times New Roman"/>
                <w:sz w:val="20"/>
              </w:rPr>
              <w:t>Choppy Waters</w:t>
            </w:r>
          </w:p>
        </w:tc>
        <w:tc>
          <w:tcPr>
            <w:tcW w:type="dxa" w:w="1152"/>
          </w:tcPr>
          <w:p>
            <w:r>
              <w:rPr>
                <w:rFonts w:ascii="Times New Roman" w:hAnsi="Times New Roman"/>
                <w:sz w:val="20"/>
              </w:rPr>
              <w:t>2.1 ± 0.5</w:t>
            </w:r>
          </w:p>
        </w:tc>
        <w:tc>
          <w:tcPr>
            <w:tcW w:type="dxa" w:w="1152"/>
          </w:tcPr>
          <w:p>
            <w:r>
              <w:rPr>
                <w:rFonts w:ascii="Times New Roman" w:hAnsi="Times New Roman"/>
                <w:sz w:val="20"/>
              </w:rPr>
              <w:t>1.0 ± 0.2</w:t>
            </w:r>
          </w:p>
        </w:tc>
        <w:tc>
          <w:tcPr>
            <w:tcW w:type="dxa" w:w="1152"/>
          </w:tcPr>
          <w:p>
            <w:r>
              <w:rPr>
                <w:rFonts w:ascii="Times New Roman" w:hAnsi="Times New Roman"/>
                <w:sz w:val="20"/>
              </w:rPr>
              <w:t>65.8</w:t>
            </w:r>
          </w:p>
        </w:tc>
        <w:tc>
          <w:tcPr>
            <w:tcW w:type="dxa" w:w="1152"/>
          </w:tcPr>
          <w:p>
            <w:r>
              <w:rPr>
                <w:rFonts w:ascii="Times New Roman" w:hAnsi="Times New Roman"/>
                <w:sz w:val="20"/>
              </w:rPr>
              <w:t>52</w:t>
            </w:r>
          </w:p>
        </w:tc>
      </w:tr>
      <w:tr>
        <w:tc>
          <w:tcPr>
            <w:tcW w:type="dxa" w:w="1152"/>
          </w:tcPr>
          <w:p>
            <w:r>
              <w:rPr>
                <w:rFonts w:ascii="Times New Roman" w:hAnsi="Times New Roman"/>
                <w:sz w:val="20"/>
              </w:rPr>
              <w:t>Rainy Weather</w:t>
            </w:r>
          </w:p>
        </w:tc>
        <w:tc>
          <w:tcPr>
            <w:tcW w:type="dxa" w:w="1152"/>
          </w:tcPr>
          <w:p>
            <w:r>
              <w:rPr>
                <w:rFonts w:ascii="Times New Roman" w:hAnsi="Times New Roman"/>
                <w:sz w:val="20"/>
              </w:rPr>
              <w:t>3.5 ± 0.8</w:t>
            </w:r>
          </w:p>
        </w:tc>
        <w:tc>
          <w:tcPr>
            <w:tcW w:type="dxa" w:w="1152"/>
          </w:tcPr>
          <w:p>
            <w:r>
              <w:rPr>
                <w:rFonts w:ascii="Times New Roman" w:hAnsi="Times New Roman"/>
                <w:sz w:val="20"/>
              </w:rPr>
              <w:t>1.8 ± 0.4</w:t>
            </w:r>
          </w:p>
        </w:tc>
        <w:tc>
          <w:tcPr>
            <w:tcW w:type="dxa" w:w="1152"/>
          </w:tcPr>
          <w:p>
            <w:r>
              <w:rPr>
                <w:rFonts w:ascii="Times New Roman" w:hAnsi="Times New Roman"/>
                <w:sz w:val="20"/>
              </w:rPr>
              <w:t>58.3</w:t>
            </w:r>
          </w:p>
        </w:tc>
        <w:tc>
          <w:tcPr>
            <w:tcW w:type="dxa" w:w="1152"/>
          </w:tcPr>
          <w:p>
            <w:r>
              <w:rPr>
                <w:rFonts w:ascii="Times New Roman" w:hAnsi="Times New Roman"/>
                <w:sz w:val="20"/>
              </w:rPr>
              <w:t>63</w:t>
            </w:r>
          </w:p>
        </w:tc>
      </w:tr>
      <w:tr>
        <w:tc>
          <w:tcPr>
            <w:tcW w:type="dxa" w:w="1152"/>
          </w:tcPr>
          <w:p>
            <w:r>
              <w:rPr>
                <w:rFonts w:ascii="Times New Roman" w:hAnsi="Times New Roman"/>
                <w:sz w:val="20"/>
              </w:rPr>
              <w:t>Fog / Low Vis.</w:t>
            </w:r>
          </w:p>
        </w:tc>
        <w:tc>
          <w:tcPr>
            <w:tcW w:type="dxa" w:w="1152"/>
          </w:tcPr>
          <w:p>
            <w:r>
              <w:rPr>
                <w:rFonts w:ascii="Times New Roman" w:hAnsi="Times New Roman"/>
                <w:sz w:val="20"/>
              </w:rPr>
              <w:t>4.0 ± 1.0</w:t>
            </w:r>
          </w:p>
        </w:tc>
        <w:tc>
          <w:tcPr>
            <w:tcW w:type="dxa" w:w="1152"/>
          </w:tcPr>
          <w:p>
            <w:r>
              <w:rPr>
                <w:rFonts w:ascii="Times New Roman" w:hAnsi="Times New Roman"/>
                <w:sz w:val="20"/>
              </w:rPr>
              <w:t>2.2 ± 0.5</w:t>
            </w:r>
          </w:p>
        </w:tc>
        <w:tc>
          <w:tcPr>
            <w:tcW w:type="dxa" w:w="1152"/>
          </w:tcPr>
          <w:p>
            <w:r>
              <w:rPr>
                <w:rFonts w:ascii="Times New Roman" w:hAnsi="Times New Roman"/>
                <w:sz w:val="20"/>
              </w:rPr>
              <w:t>55.0</w:t>
            </w:r>
          </w:p>
        </w:tc>
        <w:tc>
          <w:tcPr>
            <w:tcW w:type="dxa" w:w="1152"/>
          </w:tcPr>
          <w:p>
            <w:r>
              <w:rPr>
                <w:rFonts w:ascii="Times New Roman" w:hAnsi="Times New Roman"/>
                <w:sz w:val="20"/>
              </w:rPr>
              <w:t>68</w:t>
            </w:r>
          </w:p>
        </w:tc>
      </w:tr>
      <w:tr>
        <w:tc>
          <w:tcPr>
            <w:tcW w:type="dxa" w:w="1152"/>
          </w:tcPr>
          <w:p>
            <w:r>
              <w:rPr>
                <w:rFonts w:ascii="Times New Roman" w:hAnsi="Times New Roman"/>
                <w:sz w:val="20"/>
              </w:rPr>
              <w:t>High-Traffic</w:t>
            </w:r>
          </w:p>
        </w:tc>
        <w:tc>
          <w:tcPr>
            <w:tcW w:type="dxa" w:w="1152"/>
          </w:tcPr>
          <w:p>
            <w:r>
              <w:rPr>
                <w:rFonts w:ascii="Times New Roman" w:hAnsi="Times New Roman"/>
                <w:sz w:val="20"/>
              </w:rPr>
              <w:t>4.5 ± 1.2</w:t>
            </w:r>
          </w:p>
        </w:tc>
        <w:tc>
          <w:tcPr>
            <w:tcW w:type="dxa" w:w="1152"/>
          </w:tcPr>
          <w:p>
            <w:r>
              <w:rPr>
                <w:rFonts w:ascii="Times New Roman" w:hAnsi="Times New Roman"/>
                <w:sz w:val="20"/>
              </w:rPr>
              <w:t>2.5 ± 0.6</w:t>
            </w:r>
          </w:p>
        </w:tc>
        <w:tc>
          <w:tcPr>
            <w:tcW w:type="dxa" w:w="1152"/>
          </w:tcPr>
          <w:p>
            <w:r>
              <w:rPr>
                <w:rFonts w:ascii="Times New Roman" w:hAnsi="Times New Roman"/>
                <w:sz w:val="20"/>
              </w:rPr>
              <w:t>50.0</w:t>
            </w:r>
          </w:p>
        </w:tc>
        <w:tc>
          <w:tcPr>
            <w:tcW w:type="dxa" w:w="1152"/>
          </w:tcPr>
          <w:p>
            <w:r>
              <w:rPr>
                <w:rFonts w:ascii="Times New Roman" w:hAnsi="Times New Roman"/>
                <w:sz w:val="20"/>
              </w:rPr>
              <w:t>70</w:t>
            </w:r>
          </w:p>
        </w:tc>
      </w:tr>
    </w:tbl>
    <w:p>
      <w:pPr>
        <w:spacing w:after="120"/>
      </w:pPr>
    </w:p>
    <w:p>
      <w:r>
        <w:rPr>
          <w:rFonts w:ascii="Times New Roman" w:hAnsi="Times New Roman"/>
          <w:sz w:val="22"/>
        </w:rPr>
        <w:t>Under calm water conditions — the most favourable operating environment — M-ACF Net reduced depth RMSE from 1.2 m (raw) to 0.6 m (fused), a 50% improvement attributable to the adaptive confidence mechanism correctly prioritising LiDAR features (high C_LiDAR) whilst suppressing near-surface stereo noise. As environmental severity increased, RMSE degraded gradually rather than catastrophically: under fog and low visibility (the most demanding condition), fused RMSE of 2.2 m at 68 ms/frame remained within the real-time constraint. Table 5.6 places these results in the context of alternative fusion approaches.</w:t>
      </w:r>
    </w:p>
    <w:p>
      <w:pPr>
        <w:spacing w:before="240" w:after="60"/>
      </w:pPr>
      <w:r>
        <w:rPr>
          <w:rFonts w:ascii="Times New Roman" w:hAnsi="Times New Roman"/>
          <w:b/>
          <w:sz w:val="20"/>
        </w:rPr>
        <w:t>Table 5.6. Comparative fusion performance: M-ACF Net vs. alternative methods (RMSE in calm and stormy conditions; processing time on Jetson Orin NX).</w:t>
      </w: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Method</w:t>
            </w:r>
          </w:p>
        </w:tc>
        <w:tc>
          <w:tcPr>
            <w:tcW w:type="dxa" w:w="1440"/>
            <w:shd w:val="clear" w:color="auto" w:fill="CCCCCC"/>
          </w:tcPr>
          <w:p>
            <w:r>
              <w:rPr>
                <w:rFonts w:ascii="Times New Roman" w:hAnsi="Times New Roman"/>
                <w:b/>
                <w:sz w:val="20"/>
              </w:rPr>
              <w:t>RMSE Calm (m)</w:t>
            </w:r>
          </w:p>
        </w:tc>
        <w:tc>
          <w:tcPr>
            <w:tcW w:type="dxa" w:w="1440"/>
            <w:shd w:val="clear" w:color="auto" w:fill="CCCCCC"/>
          </w:tcPr>
          <w:p>
            <w:r>
              <w:rPr>
                <w:rFonts w:ascii="Times New Roman" w:hAnsi="Times New Roman"/>
                <w:b/>
                <w:sz w:val="20"/>
              </w:rPr>
              <w:t>RMSE Stormy (m)</w:t>
            </w:r>
          </w:p>
        </w:tc>
        <w:tc>
          <w:tcPr>
            <w:tcW w:type="dxa" w:w="1440"/>
            <w:shd w:val="clear" w:color="auto" w:fill="CCCCCC"/>
          </w:tcPr>
          <w:p>
            <w:r>
              <w:rPr>
                <w:rFonts w:ascii="Times New Roman" w:hAnsi="Times New Roman"/>
                <w:b/>
                <w:sz w:val="20"/>
              </w:rPr>
              <w:t>Process Time (ms)</w:t>
            </w:r>
          </w:p>
        </w:tc>
      </w:tr>
      <w:tr>
        <w:tc>
          <w:tcPr>
            <w:tcW w:type="dxa" w:w="1440"/>
          </w:tcPr>
          <w:p>
            <w:r>
              <w:rPr>
                <w:rFonts w:ascii="Times New Roman" w:hAnsi="Times New Roman"/>
                <w:b/>
                <w:sz w:val="20"/>
              </w:rPr>
              <w:t>M-ACF Net (proposed)</w:t>
            </w:r>
          </w:p>
        </w:tc>
        <w:tc>
          <w:tcPr>
            <w:tcW w:type="dxa" w:w="1440"/>
          </w:tcPr>
          <w:p>
            <w:r>
              <w:rPr>
                <w:rFonts w:ascii="Times New Roman" w:hAnsi="Times New Roman"/>
                <w:b/>
                <w:sz w:val="20"/>
              </w:rPr>
              <w:t>0.6 ± 0.1</w:t>
            </w:r>
          </w:p>
        </w:tc>
        <w:tc>
          <w:tcPr>
            <w:tcW w:type="dxa" w:w="1440"/>
          </w:tcPr>
          <w:p>
            <w:r>
              <w:rPr>
                <w:rFonts w:ascii="Times New Roman" w:hAnsi="Times New Roman"/>
                <w:b/>
                <w:sz w:val="20"/>
              </w:rPr>
              <w:t>1.8 ± 0.4</w:t>
            </w:r>
          </w:p>
        </w:tc>
        <w:tc>
          <w:tcPr>
            <w:tcW w:type="dxa" w:w="1440"/>
          </w:tcPr>
          <w:p>
            <w:r>
              <w:rPr>
                <w:rFonts w:ascii="Times New Roman" w:hAnsi="Times New Roman"/>
                <w:b/>
                <w:sz w:val="20"/>
              </w:rPr>
              <w:t>45–63</w:t>
            </w:r>
          </w:p>
        </w:tc>
      </w:tr>
      <w:tr>
        <w:tc>
          <w:tcPr>
            <w:tcW w:type="dxa" w:w="1440"/>
          </w:tcPr>
          <w:p>
            <w:r>
              <w:rPr>
                <w:rFonts w:ascii="Times New Roman" w:hAnsi="Times New Roman"/>
                <w:sz w:val="20"/>
              </w:rPr>
              <w:t>Median Filtering</w:t>
            </w:r>
          </w:p>
        </w:tc>
        <w:tc>
          <w:tcPr>
            <w:tcW w:type="dxa" w:w="1440"/>
          </w:tcPr>
          <w:p>
            <w:r>
              <w:rPr>
                <w:rFonts w:ascii="Times New Roman" w:hAnsi="Times New Roman"/>
                <w:sz w:val="20"/>
              </w:rPr>
              <w:t>1.0 ± 0.2</w:t>
            </w:r>
          </w:p>
        </w:tc>
        <w:tc>
          <w:tcPr>
            <w:tcW w:type="dxa" w:w="1440"/>
          </w:tcPr>
          <w:p>
            <w:r>
              <w:rPr>
                <w:rFonts w:ascii="Times New Roman" w:hAnsi="Times New Roman"/>
                <w:sz w:val="20"/>
              </w:rPr>
              <w:t>2.5 ± 0.6</w:t>
            </w:r>
          </w:p>
        </w:tc>
        <w:tc>
          <w:tcPr>
            <w:tcW w:type="dxa" w:w="1440"/>
          </w:tcPr>
          <w:p>
            <w:r>
              <w:rPr>
                <w:rFonts w:ascii="Times New Roman" w:hAnsi="Times New Roman"/>
                <w:sz w:val="20"/>
              </w:rPr>
              <w:t>30–40</w:t>
            </w:r>
          </w:p>
        </w:tc>
      </w:tr>
      <w:tr>
        <w:tc>
          <w:tcPr>
            <w:tcW w:type="dxa" w:w="1440"/>
          </w:tcPr>
          <w:p>
            <w:r>
              <w:rPr>
                <w:rFonts w:ascii="Times New Roman" w:hAnsi="Times New Roman"/>
                <w:sz w:val="20"/>
              </w:rPr>
              <w:t>U-Net (LiDAR)</w:t>
            </w:r>
          </w:p>
        </w:tc>
        <w:tc>
          <w:tcPr>
            <w:tcW w:type="dxa" w:w="1440"/>
          </w:tcPr>
          <w:p>
            <w:r>
              <w:rPr>
                <w:rFonts w:ascii="Times New Roman" w:hAnsi="Times New Roman"/>
                <w:sz w:val="20"/>
              </w:rPr>
              <w:t>0.7 ± 0.2</w:t>
            </w:r>
          </w:p>
        </w:tc>
        <w:tc>
          <w:tcPr>
            <w:tcW w:type="dxa" w:w="1440"/>
          </w:tcPr>
          <w:p>
            <w:r>
              <w:rPr>
                <w:rFonts w:ascii="Times New Roman" w:hAnsi="Times New Roman"/>
                <w:sz w:val="20"/>
              </w:rPr>
              <w:t>2.0 ± 0.5</w:t>
            </w:r>
          </w:p>
        </w:tc>
        <w:tc>
          <w:tcPr>
            <w:tcW w:type="dxa" w:w="1440"/>
          </w:tcPr>
          <w:p>
            <w:r>
              <w:rPr>
                <w:rFonts w:ascii="Times New Roman" w:hAnsi="Times New Roman"/>
                <w:sz w:val="20"/>
              </w:rPr>
              <w:t>120–150</w:t>
            </w:r>
          </w:p>
        </w:tc>
      </w:tr>
      <w:tr>
        <w:tc>
          <w:tcPr>
            <w:tcW w:type="dxa" w:w="1440"/>
          </w:tcPr>
          <w:p>
            <w:r>
              <w:rPr>
                <w:rFonts w:ascii="Times New Roman" w:hAnsi="Times New Roman"/>
                <w:sz w:val="20"/>
              </w:rPr>
              <w:t>ResNet-50 Fusion</w:t>
            </w:r>
          </w:p>
        </w:tc>
        <w:tc>
          <w:tcPr>
            <w:tcW w:type="dxa" w:w="1440"/>
          </w:tcPr>
          <w:p>
            <w:r>
              <w:rPr>
                <w:rFonts w:ascii="Times New Roman" w:hAnsi="Times New Roman"/>
                <w:sz w:val="20"/>
              </w:rPr>
              <w:t>0.8 ± 0.3</w:t>
            </w:r>
          </w:p>
        </w:tc>
        <w:tc>
          <w:tcPr>
            <w:tcW w:type="dxa" w:w="1440"/>
          </w:tcPr>
          <w:p>
            <w:r>
              <w:rPr>
                <w:rFonts w:ascii="Times New Roman" w:hAnsi="Times New Roman"/>
                <w:sz w:val="20"/>
              </w:rPr>
              <w:t>2.2 ± 0.6</w:t>
            </w:r>
          </w:p>
        </w:tc>
        <w:tc>
          <w:tcPr>
            <w:tcW w:type="dxa" w:w="1440"/>
          </w:tcPr>
          <w:p>
            <w:r>
              <w:rPr>
                <w:rFonts w:ascii="Times New Roman" w:hAnsi="Times New Roman"/>
                <w:sz w:val="20"/>
              </w:rPr>
              <w:t>90–110</w:t>
            </w:r>
          </w:p>
        </w:tc>
      </w:tr>
      <w:tr>
        <w:tc>
          <w:tcPr>
            <w:tcW w:type="dxa" w:w="1440"/>
          </w:tcPr>
          <w:p>
            <w:r>
              <w:rPr>
                <w:rFonts w:ascii="Times New Roman" w:hAnsi="Times New Roman"/>
                <w:sz w:val="20"/>
              </w:rPr>
              <w:t>Vision Transformer</w:t>
            </w:r>
          </w:p>
        </w:tc>
        <w:tc>
          <w:tcPr>
            <w:tcW w:type="dxa" w:w="1440"/>
          </w:tcPr>
          <w:p>
            <w:r>
              <w:rPr>
                <w:rFonts w:ascii="Times New Roman" w:hAnsi="Times New Roman"/>
                <w:sz w:val="20"/>
              </w:rPr>
              <w:t>0.9 ± 0.3</w:t>
            </w:r>
          </w:p>
        </w:tc>
        <w:tc>
          <w:tcPr>
            <w:tcW w:type="dxa" w:w="1440"/>
          </w:tcPr>
          <w:p>
            <w:r>
              <w:rPr>
                <w:rFonts w:ascii="Times New Roman" w:hAnsi="Times New Roman"/>
                <w:sz w:val="20"/>
              </w:rPr>
              <w:t>2.4 ± 0.7</w:t>
            </w:r>
          </w:p>
        </w:tc>
        <w:tc>
          <w:tcPr>
            <w:tcW w:type="dxa" w:w="1440"/>
          </w:tcPr>
          <w:p>
            <w:r>
              <w:rPr>
                <w:rFonts w:ascii="Times New Roman" w:hAnsi="Times New Roman"/>
                <w:sz w:val="20"/>
              </w:rPr>
              <w:t>200–250</w:t>
            </w:r>
          </w:p>
        </w:tc>
      </w:tr>
    </w:tbl>
    <w:p>
      <w:pPr>
        <w:spacing w:after="120"/>
      </w:pPr>
    </w:p>
    <w:p>
      <w:r>
        <w:rPr>
          <w:rFonts w:ascii="Times New Roman" w:hAnsi="Times New Roman"/>
          <w:sz w:val="22"/>
        </w:rPr>
        <w:t>M-ACF Net achieves the lowest RMSE in both calm (0.6 m) and stormy (1.8 m) conditions — outperforming even U-Net and ResNet-50 fusion baselines that incorporate learned feature combination — whilst operating in 45–63 ms, compared with 90–250 ms for the deep-learning fusion baselines. This demonstrates that the confidence-weighted mechanism provides accuracy gains through principled adaptive weighting rather than additional computational depth.</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5.9 ]</w:t>
            </w:r>
          </w:p>
          <w:p>
            <w:pPr>
              <w:jc w:val="center"/>
            </w:pPr>
            <w:r>
              <w:rPr>
                <w:i/>
                <w:color w:val="6E6E6E"/>
                <w:sz w:val="18"/>
              </w:rPr>
              <w:t>Grouped bar chart comparing RMSE (calm/stormy) and processing time for M-ACF Net vs. four fusion baselines from Table 5.6. Source: Authors.</w:t>
            </w:r>
          </w:p>
        </w:tc>
      </w:tr>
    </w:tbl>
    <w:p>
      <w:pPr>
        <w:spacing w:before="60" w:after="240"/>
        <w:jc w:val="center"/>
      </w:pPr>
      <w:r>
        <w:rPr>
          <w:rFonts w:ascii="Times New Roman" w:hAnsi="Times New Roman"/>
          <w:i/>
          <w:sz w:val="20"/>
        </w:rPr>
        <w:t>Figure 5.9. Fusion performance comparison: M-ACF Net achieves lowest RMSE in both calm (0.6 m) and stormy (1.8 m) conditions while remaining within the real-time processing budget (45–63 ms), unlike deep-learning baselines requiring 90–250 ms.</w:t>
      </w:r>
    </w:p>
    <w:p>
      <w:pPr>
        <w:pStyle w:val="Heading3"/>
      </w:pPr>
      <w:r>
        <w:t>Clustering and Localisation Validation</w:t>
      </w:r>
    </w:p>
    <w:p>
      <w:r>
        <w:rPr>
          <w:rFonts w:ascii="Times New Roman" w:hAnsi="Times New Roman"/>
          <w:sz w:val="22"/>
        </w:rPr>
        <w:t>PCA–K-Means clustering performance was assessed using three internal cluster quality metrics — Silhouette score, Davies–Bouldin (DB) index, and Calinski–Harabasz (CH) index — as well as distance estimation accuracy (RMSE, MAE, and R²) against RTK-GNSS ground-truth obstacle positions. Table 5.7 compares M-ACF Net clustering against four established algorithms.</w:t>
      </w:r>
    </w:p>
    <w:p>
      <w:pPr>
        <w:spacing w:before="240" w:after="60"/>
      </w:pPr>
      <w:r>
        <w:rPr>
          <w:rFonts w:ascii="Times New Roman" w:hAnsi="Times New Roman"/>
          <w:b/>
          <w:sz w:val="20"/>
        </w:rPr>
        <w:t>Table 5.7. Clustering quality and computation time: M-ACF Net PCA–K-Means vs. alternative clustering algorithms (higher Silhouette and CH are better; lower DB and time are better).</w:t>
      </w:r>
    </w:p>
    <w:tbl>
      <w:tblPr>
        <w:tblStyle w:val="TableGrid"/>
        <w:tblW w:type="auto" w:w="0"/>
        <w:tblLook w:firstColumn="1" w:firstRow="1" w:lastColumn="0" w:lastRow="0" w:noHBand="0" w:noVBand="1" w:val="04A0"/>
      </w:tblPr>
      <w:tblGrid>
        <w:gridCol w:w="1152"/>
        <w:gridCol w:w="1152"/>
        <w:gridCol w:w="1152"/>
        <w:gridCol w:w="1152"/>
        <w:gridCol w:w="1152"/>
      </w:tblGrid>
      <w:tr>
        <w:tc>
          <w:tcPr>
            <w:tcW w:type="dxa" w:w="1152"/>
            <w:shd w:val="clear" w:color="auto" w:fill="CCCCCC"/>
          </w:tcPr>
          <w:p>
            <w:r>
              <w:rPr>
                <w:rFonts w:ascii="Times New Roman" w:hAnsi="Times New Roman"/>
                <w:b/>
                <w:sz w:val="20"/>
              </w:rPr>
              <w:t>Algorithm</w:t>
            </w:r>
          </w:p>
        </w:tc>
        <w:tc>
          <w:tcPr>
            <w:tcW w:type="dxa" w:w="1152"/>
            <w:shd w:val="clear" w:color="auto" w:fill="CCCCCC"/>
          </w:tcPr>
          <w:p>
            <w:r>
              <w:rPr>
                <w:rFonts w:ascii="Times New Roman" w:hAnsi="Times New Roman"/>
                <w:b/>
                <w:sz w:val="20"/>
              </w:rPr>
              <w:t>Silhouette ↑</w:t>
            </w:r>
          </w:p>
        </w:tc>
        <w:tc>
          <w:tcPr>
            <w:tcW w:type="dxa" w:w="1152"/>
            <w:shd w:val="clear" w:color="auto" w:fill="CCCCCC"/>
          </w:tcPr>
          <w:p>
            <w:r>
              <w:rPr>
                <w:rFonts w:ascii="Times New Roman" w:hAnsi="Times New Roman"/>
                <w:b/>
                <w:sz w:val="20"/>
              </w:rPr>
              <w:t>Davies–Bouldin ↓</w:t>
            </w:r>
          </w:p>
        </w:tc>
        <w:tc>
          <w:tcPr>
            <w:tcW w:type="dxa" w:w="1152"/>
            <w:shd w:val="clear" w:color="auto" w:fill="CCCCCC"/>
          </w:tcPr>
          <w:p>
            <w:r>
              <w:rPr>
                <w:rFonts w:ascii="Times New Roman" w:hAnsi="Times New Roman"/>
                <w:b/>
                <w:sz w:val="20"/>
              </w:rPr>
              <w:t>Calinski–Harabasz ↑</w:t>
            </w:r>
          </w:p>
        </w:tc>
        <w:tc>
          <w:tcPr>
            <w:tcW w:type="dxa" w:w="1152"/>
            <w:shd w:val="clear" w:color="auto" w:fill="CCCCCC"/>
          </w:tcPr>
          <w:p>
            <w:r>
              <w:rPr>
                <w:rFonts w:ascii="Times New Roman" w:hAnsi="Times New Roman"/>
                <w:b/>
                <w:sz w:val="20"/>
              </w:rPr>
              <w:t>Time (s) ↓</w:t>
            </w:r>
          </w:p>
        </w:tc>
      </w:tr>
      <w:tr>
        <w:tc>
          <w:tcPr>
            <w:tcW w:type="dxa" w:w="1152"/>
          </w:tcPr>
          <w:p>
            <w:r>
              <w:rPr>
                <w:rFonts w:ascii="Times New Roman" w:hAnsi="Times New Roman"/>
                <w:b/>
                <w:sz w:val="20"/>
              </w:rPr>
              <w:t>M-ACF Net (proposed)</w:t>
            </w:r>
          </w:p>
        </w:tc>
        <w:tc>
          <w:tcPr>
            <w:tcW w:type="dxa" w:w="1152"/>
          </w:tcPr>
          <w:p>
            <w:r>
              <w:rPr>
                <w:rFonts w:ascii="Times New Roman" w:hAnsi="Times New Roman"/>
                <w:b/>
                <w:sz w:val="20"/>
              </w:rPr>
              <w:t>0.70</w:t>
            </w:r>
          </w:p>
        </w:tc>
        <w:tc>
          <w:tcPr>
            <w:tcW w:type="dxa" w:w="1152"/>
          </w:tcPr>
          <w:p>
            <w:r>
              <w:rPr>
                <w:rFonts w:ascii="Times New Roman" w:hAnsi="Times New Roman"/>
                <w:b/>
                <w:sz w:val="20"/>
              </w:rPr>
              <w:t>0.50</w:t>
            </w:r>
          </w:p>
        </w:tc>
        <w:tc>
          <w:tcPr>
            <w:tcW w:type="dxa" w:w="1152"/>
          </w:tcPr>
          <w:p>
            <w:r>
              <w:rPr>
                <w:rFonts w:ascii="Times New Roman" w:hAnsi="Times New Roman"/>
                <w:sz w:val="20"/>
              </w:rPr>
              <w:t>60</w:t>
            </w:r>
          </w:p>
        </w:tc>
        <w:tc>
          <w:tcPr>
            <w:tcW w:type="dxa" w:w="1152"/>
          </w:tcPr>
          <w:p>
            <w:r>
              <w:rPr>
                <w:rFonts w:ascii="Times New Roman" w:hAnsi="Times New Roman"/>
                <w:b/>
                <w:sz w:val="20"/>
              </w:rPr>
              <w:t>0.05</w:t>
            </w:r>
          </w:p>
        </w:tc>
      </w:tr>
      <w:tr>
        <w:tc>
          <w:tcPr>
            <w:tcW w:type="dxa" w:w="1152"/>
          </w:tcPr>
          <w:p>
            <w:r>
              <w:rPr>
                <w:rFonts w:ascii="Times New Roman" w:hAnsi="Times New Roman"/>
                <w:sz w:val="20"/>
              </w:rPr>
              <w:t>DBSCAN</w:t>
            </w:r>
          </w:p>
        </w:tc>
        <w:tc>
          <w:tcPr>
            <w:tcW w:type="dxa" w:w="1152"/>
          </w:tcPr>
          <w:p>
            <w:r>
              <w:rPr>
                <w:rFonts w:ascii="Times New Roman" w:hAnsi="Times New Roman"/>
                <w:sz w:val="20"/>
              </w:rPr>
              <w:t>0.75</w:t>
            </w:r>
          </w:p>
        </w:tc>
        <w:tc>
          <w:tcPr>
            <w:tcW w:type="dxa" w:w="1152"/>
          </w:tcPr>
          <w:p>
            <w:r>
              <w:rPr>
                <w:rFonts w:ascii="Times New Roman" w:hAnsi="Times New Roman"/>
                <w:sz w:val="20"/>
              </w:rPr>
              <w:t>0.60</w:t>
            </w:r>
          </w:p>
        </w:tc>
        <w:tc>
          <w:tcPr>
            <w:tcW w:type="dxa" w:w="1152"/>
          </w:tcPr>
          <w:p>
            <w:r>
              <w:rPr>
                <w:rFonts w:ascii="Times New Roman" w:hAnsi="Times New Roman"/>
                <w:sz w:val="20"/>
              </w:rPr>
              <w:t>80</w:t>
            </w:r>
          </w:p>
        </w:tc>
        <w:tc>
          <w:tcPr>
            <w:tcW w:type="dxa" w:w="1152"/>
          </w:tcPr>
          <w:p>
            <w:r>
              <w:rPr>
                <w:rFonts w:ascii="Times New Roman" w:hAnsi="Times New Roman"/>
                <w:sz w:val="20"/>
              </w:rPr>
              <w:t>0.12</w:t>
            </w:r>
          </w:p>
        </w:tc>
      </w:tr>
      <w:tr>
        <w:tc>
          <w:tcPr>
            <w:tcW w:type="dxa" w:w="1152"/>
          </w:tcPr>
          <w:p>
            <w:r>
              <w:rPr>
                <w:rFonts w:ascii="Times New Roman" w:hAnsi="Times New Roman"/>
                <w:sz w:val="20"/>
              </w:rPr>
              <w:t>Hierarchical</w:t>
            </w:r>
          </w:p>
        </w:tc>
        <w:tc>
          <w:tcPr>
            <w:tcW w:type="dxa" w:w="1152"/>
          </w:tcPr>
          <w:p>
            <w:r>
              <w:rPr>
                <w:rFonts w:ascii="Times New Roman" w:hAnsi="Times New Roman"/>
                <w:sz w:val="20"/>
              </w:rPr>
              <w:t>0.70</w:t>
            </w:r>
          </w:p>
        </w:tc>
        <w:tc>
          <w:tcPr>
            <w:tcW w:type="dxa" w:w="1152"/>
          </w:tcPr>
          <w:p>
            <w:r>
              <w:rPr>
                <w:rFonts w:ascii="Times New Roman" w:hAnsi="Times New Roman"/>
                <w:sz w:val="20"/>
              </w:rPr>
              <w:t>0.70</w:t>
            </w:r>
          </w:p>
        </w:tc>
        <w:tc>
          <w:tcPr>
            <w:tcW w:type="dxa" w:w="1152"/>
          </w:tcPr>
          <w:p>
            <w:r>
              <w:rPr>
                <w:rFonts w:ascii="Times New Roman" w:hAnsi="Times New Roman"/>
                <w:sz w:val="20"/>
              </w:rPr>
              <w:t>50</w:t>
            </w:r>
          </w:p>
        </w:tc>
        <w:tc>
          <w:tcPr>
            <w:tcW w:type="dxa" w:w="1152"/>
          </w:tcPr>
          <w:p>
            <w:r>
              <w:rPr>
                <w:rFonts w:ascii="Times New Roman" w:hAnsi="Times New Roman"/>
                <w:sz w:val="20"/>
              </w:rPr>
              <w:t>0.25</w:t>
            </w:r>
          </w:p>
        </w:tc>
      </w:tr>
      <w:tr>
        <w:tc>
          <w:tcPr>
            <w:tcW w:type="dxa" w:w="1152"/>
          </w:tcPr>
          <w:p>
            <w:r>
              <w:rPr>
                <w:rFonts w:ascii="Times New Roman" w:hAnsi="Times New Roman"/>
                <w:sz w:val="20"/>
              </w:rPr>
              <w:t>Spectral Clustering</w:t>
            </w:r>
          </w:p>
        </w:tc>
        <w:tc>
          <w:tcPr>
            <w:tcW w:type="dxa" w:w="1152"/>
          </w:tcPr>
          <w:p>
            <w:r>
              <w:rPr>
                <w:rFonts w:ascii="Times New Roman" w:hAnsi="Times New Roman"/>
                <w:sz w:val="20"/>
              </w:rPr>
              <w:t>0.80</w:t>
            </w:r>
          </w:p>
        </w:tc>
        <w:tc>
          <w:tcPr>
            <w:tcW w:type="dxa" w:w="1152"/>
          </w:tcPr>
          <w:p>
            <w:r>
              <w:rPr>
                <w:rFonts w:ascii="Times New Roman" w:hAnsi="Times New Roman"/>
                <w:sz w:val="20"/>
              </w:rPr>
              <w:t>0.55</w:t>
            </w:r>
          </w:p>
        </w:tc>
        <w:tc>
          <w:tcPr>
            <w:tcW w:type="dxa" w:w="1152"/>
          </w:tcPr>
          <w:p>
            <w:r>
              <w:rPr>
                <w:rFonts w:ascii="Times New Roman" w:hAnsi="Times New Roman"/>
                <w:sz w:val="20"/>
              </w:rPr>
              <w:t>90</w:t>
            </w:r>
          </w:p>
        </w:tc>
        <w:tc>
          <w:tcPr>
            <w:tcW w:type="dxa" w:w="1152"/>
          </w:tcPr>
          <w:p>
            <w:r>
              <w:rPr>
                <w:rFonts w:ascii="Times New Roman" w:hAnsi="Times New Roman"/>
                <w:sz w:val="20"/>
              </w:rPr>
              <w:t>0.30</w:t>
            </w:r>
          </w:p>
        </w:tc>
      </w:tr>
      <w:tr>
        <w:tc>
          <w:tcPr>
            <w:tcW w:type="dxa" w:w="1152"/>
          </w:tcPr>
          <w:p>
            <w:r>
              <w:rPr>
                <w:rFonts w:ascii="Times New Roman" w:hAnsi="Times New Roman"/>
                <w:sz w:val="20"/>
              </w:rPr>
              <w:t>GMMs</w:t>
            </w:r>
          </w:p>
        </w:tc>
        <w:tc>
          <w:tcPr>
            <w:tcW w:type="dxa" w:w="1152"/>
          </w:tcPr>
          <w:p>
            <w:r>
              <w:rPr>
                <w:rFonts w:ascii="Times New Roman" w:hAnsi="Times New Roman"/>
                <w:sz w:val="20"/>
              </w:rPr>
              <w:t>0.75</w:t>
            </w:r>
          </w:p>
        </w:tc>
        <w:tc>
          <w:tcPr>
            <w:tcW w:type="dxa" w:w="1152"/>
          </w:tcPr>
          <w:p>
            <w:r>
              <w:rPr>
                <w:rFonts w:ascii="Times New Roman" w:hAnsi="Times New Roman"/>
                <w:sz w:val="20"/>
              </w:rPr>
              <w:t>0.58</w:t>
            </w:r>
          </w:p>
        </w:tc>
        <w:tc>
          <w:tcPr>
            <w:tcW w:type="dxa" w:w="1152"/>
          </w:tcPr>
          <w:p>
            <w:r>
              <w:rPr>
                <w:rFonts w:ascii="Times New Roman" w:hAnsi="Times New Roman"/>
                <w:sz w:val="20"/>
              </w:rPr>
              <w:t>70</w:t>
            </w:r>
          </w:p>
        </w:tc>
        <w:tc>
          <w:tcPr>
            <w:tcW w:type="dxa" w:w="1152"/>
          </w:tcPr>
          <w:p>
            <w:r>
              <w:rPr>
                <w:rFonts w:ascii="Times New Roman" w:hAnsi="Times New Roman"/>
                <w:sz w:val="20"/>
              </w:rPr>
              <w:t>0.20</w:t>
            </w:r>
          </w:p>
        </w:tc>
      </w:tr>
    </w:tbl>
    <w:p>
      <w:pPr>
        <w:spacing w:after="120"/>
      </w:pPr>
    </w:p>
    <w:p>
      <w:r>
        <w:rPr>
          <w:rFonts w:ascii="Times New Roman" w:hAnsi="Times New Roman"/>
          <w:sz w:val="22"/>
        </w:rPr>
        <w:t>The M-ACF Net clustering configuration achieves the lowest computation time (0.05 s — four times faster than DBSCAN and six times faster than spectral clustering), with competitive Silhouette and Davies–Bouldin scores. The relatively lower CH index (60 vs. spectral clustering's 90) reflects the PCA–K-Means preference for a small number of well-separated clusters consistent with the maritime obstacle distribution, rather than maximising inter-cluster spread at the expense of intra-cluster coherence.</w:t>
      </w:r>
    </w:p>
    <w:p>
      <w:pPr>
        <w:spacing w:before="240" w:after="60"/>
      </w:pPr>
      <w:r>
        <w:rPr>
          <w:rFonts w:ascii="Times New Roman" w:hAnsi="Times New Roman"/>
          <w:b/>
          <w:sz w:val="20"/>
        </w:rPr>
        <w:t>Table 5.8. Obstacle distance estimation accuracy: M-ACF Net vs. alternative clustering algorithms (ground truth from RTK-GNSS ranging trials at Taman Tasik Metropolitan).</w:t>
      </w: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Algorithm</w:t>
            </w:r>
          </w:p>
        </w:tc>
        <w:tc>
          <w:tcPr>
            <w:tcW w:type="dxa" w:w="1440"/>
            <w:shd w:val="clear" w:color="auto" w:fill="CCCCCC"/>
          </w:tcPr>
          <w:p>
            <w:r>
              <w:rPr>
                <w:rFonts w:ascii="Times New Roman" w:hAnsi="Times New Roman"/>
                <w:b/>
                <w:sz w:val="20"/>
              </w:rPr>
              <w:t>RMSE (m) ↓</w:t>
            </w:r>
          </w:p>
        </w:tc>
        <w:tc>
          <w:tcPr>
            <w:tcW w:type="dxa" w:w="1440"/>
            <w:shd w:val="clear" w:color="auto" w:fill="CCCCCC"/>
          </w:tcPr>
          <w:p>
            <w:r>
              <w:rPr>
                <w:rFonts w:ascii="Times New Roman" w:hAnsi="Times New Roman"/>
                <w:b/>
                <w:sz w:val="20"/>
              </w:rPr>
              <w:t>MAE (m) ↓</w:t>
            </w:r>
          </w:p>
        </w:tc>
        <w:tc>
          <w:tcPr>
            <w:tcW w:type="dxa" w:w="1440"/>
            <w:shd w:val="clear" w:color="auto" w:fill="CCCCCC"/>
          </w:tcPr>
          <w:p>
            <w:r>
              <w:rPr>
                <w:rFonts w:ascii="Times New Roman" w:hAnsi="Times New Roman"/>
                <w:b/>
                <w:sz w:val="20"/>
              </w:rPr>
              <w:t>R² ↑</w:t>
            </w:r>
          </w:p>
        </w:tc>
      </w:tr>
      <w:tr>
        <w:tc>
          <w:tcPr>
            <w:tcW w:type="dxa" w:w="1440"/>
          </w:tcPr>
          <w:p>
            <w:r>
              <w:rPr>
                <w:rFonts w:ascii="Times New Roman" w:hAnsi="Times New Roman"/>
                <w:b/>
                <w:sz w:val="20"/>
              </w:rPr>
              <w:t>M-ACF Net (proposed)</w:t>
            </w:r>
          </w:p>
        </w:tc>
        <w:tc>
          <w:tcPr>
            <w:tcW w:type="dxa" w:w="1440"/>
          </w:tcPr>
          <w:p>
            <w:r>
              <w:rPr>
                <w:rFonts w:ascii="Times New Roman" w:hAnsi="Times New Roman"/>
                <w:b/>
                <w:sz w:val="20"/>
              </w:rPr>
              <w:t>1.6</w:t>
            </w:r>
          </w:p>
        </w:tc>
        <w:tc>
          <w:tcPr>
            <w:tcW w:type="dxa" w:w="1440"/>
          </w:tcPr>
          <w:p>
            <w:r>
              <w:rPr>
                <w:rFonts w:ascii="Times New Roman" w:hAnsi="Times New Roman"/>
                <w:b/>
                <w:sz w:val="20"/>
              </w:rPr>
              <w:t>1.2</w:t>
            </w:r>
          </w:p>
        </w:tc>
        <w:tc>
          <w:tcPr>
            <w:tcW w:type="dxa" w:w="1440"/>
          </w:tcPr>
          <w:p>
            <w:r>
              <w:rPr>
                <w:rFonts w:ascii="Times New Roman" w:hAnsi="Times New Roman"/>
                <w:b/>
                <w:sz w:val="20"/>
              </w:rPr>
              <w:t>0.88</w:t>
            </w:r>
          </w:p>
        </w:tc>
      </w:tr>
      <w:tr>
        <w:tc>
          <w:tcPr>
            <w:tcW w:type="dxa" w:w="1440"/>
          </w:tcPr>
          <w:p>
            <w:r>
              <w:rPr>
                <w:rFonts w:ascii="Times New Roman" w:hAnsi="Times New Roman"/>
                <w:sz w:val="20"/>
              </w:rPr>
              <w:t>DBSCAN</w:t>
            </w:r>
          </w:p>
        </w:tc>
        <w:tc>
          <w:tcPr>
            <w:tcW w:type="dxa" w:w="1440"/>
          </w:tcPr>
          <w:p>
            <w:r>
              <w:rPr>
                <w:rFonts w:ascii="Times New Roman" w:hAnsi="Times New Roman"/>
                <w:sz w:val="20"/>
              </w:rPr>
              <w:t>2.0</w:t>
            </w:r>
          </w:p>
        </w:tc>
        <w:tc>
          <w:tcPr>
            <w:tcW w:type="dxa" w:w="1440"/>
          </w:tcPr>
          <w:p>
            <w:r>
              <w:rPr>
                <w:rFonts w:ascii="Times New Roman" w:hAnsi="Times New Roman"/>
                <w:sz w:val="20"/>
              </w:rPr>
              <w:t>1.6</w:t>
            </w:r>
          </w:p>
        </w:tc>
        <w:tc>
          <w:tcPr>
            <w:tcW w:type="dxa" w:w="1440"/>
          </w:tcPr>
          <w:p>
            <w:r>
              <w:rPr>
                <w:rFonts w:ascii="Times New Roman" w:hAnsi="Times New Roman"/>
                <w:sz w:val="20"/>
              </w:rPr>
              <w:t>0.80</w:t>
            </w:r>
          </w:p>
        </w:tc>
      </w:tr>
      <w:tr>
        <w:tc>
          <w:tcPr>
            <w:tcW w:type="dxa" w:w="1440"/>
          </w:tcPr>
          <w:p>
            <w:r>
              <w:rPr>
                <w:rFonts w:ascii="Times New Roman" w:hAnsi="Times New Roman"/>
                <w:sz w:val="20"/>
              </w:rPr>
              <w:t>Hierarchical</w:t>
            </w:r>
          </w:p>
        </w:tc>
        <w:tc>
          <w:tcPr>
            <w:tcW w:type="dxa" w:w="1440"/>
          </w:tcPr>
          <w:p>
            <w:r>
              <w:rPr>
                <w:rFonts w:ascii="Times New Roman" w:hAnsi="Times New Roman"/>
                <w:sz w:val="20"/>
              </w:rPr>
              <w:t>2.8</w:t>
            </w:r>
          </w:p>
        </w:tc>
        <w:tc>
          <w:tcPr>
            <w:tcW w:type="dxa" w:w="1440"/>
          </w:tcPr>
          <w:p>
            <w:r>
              <w:rPr>
                <w:rFonts w:ascii="Times New Roman" w:hAnsi="Times New Roman"/>
                <w:sz w:val="20"/>
              </w:rPr>
              <w:t>2.2</w:t>
            </w:r>
          </w:p>
        </w:tc>
        <w:tc>
          <w:tcPr>
            <w:tcW w:type="dxa" w:w="1440"/>
          </w:tcPr>
          <w:p>
            <w:r>
              <w:rPr>
                <w:rFonts w:ascii="Times New Roman" w:hAnsi="Times New Roman"/>
                <w:sz w:val="20"/>
              </w:rPr>
              <w:t>0.70</w:t>
            </w:r>
          </w:p>
        </w:tc>
      </w:tr>
      <w:tr>
        <w:tc>
          <w:tcPr>
            <w:tcW w:type="dxa" w:w="1440"/>
          </w:tcPr>
          <w:p>
            <w:r>
              <w:rPr>
                <w:rFonts w:ascii="Times New Roman" w:hAnsi="Times New Roman"/>
                <w:sz w:val="20"/>
              </w:rPr>
              <w:t>Spectral Clustering</w:t>
            </w:r>
          </w:p>
        </w:tc>
        <w:tc>
          <w:tcPr>
            <w:tcW w:type="dxa" w:w="1440"/>
          </w:tcPr>
          <w:p>
            <w:r>
              <w:rPr>
                <w:rFonts w:ascii="Times New Roman" w:hAnsi="Times New Roman"/>
                <w:sz w:val="20"/>
              </w:rPr>
              <w:t>1.8</w:t>
            </w:r>
          </w:p>
        </w:tc>
        <w:tc>
          <w:tcPr>
            <w:tcW w:type="dxa" w:w="1440"/>
          </w:tcPr>
          <w:p>
            <w:r>
              <w:rPr>
                <w:rFonts w:ascii="Times New Roman" w:hAnsi="Times New Roman"/>
                <w:sz w:val="20"/>
              </w:rPr>
              <w:t>1.4</w:t>
            </w:r>
          </w:p>
        </w:tc>
        <w:tc>
          <w:tcPr>
            <w:tcW w:type="dxa" w:w="1440"/>
          </w:tcPr>
          <w:p>
            <w:r>
              <w:rPr>
                <w:rFonts w:ascii="Times New Roman" w:hAnsi="Times New Roman"/>
                <w:sz w:val="20"/>
              </w:rPr>
              <w:t>0.85</w:t>
            </w:r>
          </w:p>
        </w:tc>
      </w:tr>
      <w:tr>
        <w:tc>
          <w:tcPr>
            <w:tcW w:type="dxa" w:w="1440"/>
          </w:tcPr>
          <w:p>
            <w:r>
              <w:rPr>
                <w:rFonts w:ascii="Times New Roman" w:hAnsi="Times New Roman"/>
                <w:sz w:val="20"/>
              </w:rPr>
              <w:t>GMMs</w:t>
            </w:r>
          </w:p>
        </w:tc>
        <w:tc>
          <w:tcPr>
            <w:tcW w:type="dxa" w:w="1440"/>
          </w:tcPr>
          <w:p>
            <w:r>
              <w:rPr>
                <w:rFonts w:ascii="Times New Roman" w:hAnsi="Times New Roman"/>
                <w:sz w:val="20"/>
              </w:rPr>
              <w:t>2.1</w:t>
            </w:r>
          </w:p>
        </w:tc>
        <w:tc>
          <w:tcPr>
            <w:tcW w:type="dxa" w:w="1440"/>
          </w:tcPr>
          <w:p>
            <w:r>
              <w:rPr>
                <w:rFonts w:ascii="Times New Roman" w:hAnsi="Times New Roman"/>
                <w:sz w:val="20"/>
              </w:rPr>
              <w:t>1.7</w:t>
            </w:r>
          </w:p>
        </w:tc>
        <w:tc>
          <w:tcPr>
            <w:tcW w:type="dxa" w:w="1440"/>
          </w:tcPr>
          <w:p>
            <w:r>
              <w:rPr>
                <w:rFonts w:ascii="Times New Roman" w:hAnsi="Times New Roman"/>
                <w:sz w:val="20"/>
              </w:rPr>
              <w:t>0.78</w:t>
            </w:r>
          </w:p>
        </w:tc>
      </w:tr>
    </w:tbl>
    <w:p>
      <w:pPr>
        <w:spacing w:after="120"/>
      </w:pPr>
    </w:p>
    <w:p>
      <w:r>
        <w:rPr>
          <w:rFonts w:ascii="Times New Roman" w:hAnsi="Times New Roman"/>
          <w:sz w:val="22"/>
        </w:rPr>
        <w:t>M-ACF Net achieves the best distance estimation accuracy: RMSE = 1.6 m, MAE = 1.2 m, and R² = 0.88. The R² score of 0.88 indicates that 88% of the variance in ground-truth obstacle ranges is captured by the M-ACF Net range estimate, confirming strong linear correspondence between estimated and true obstacle positions across the tested range (0–15 m). The superiority of PCA–K-Means over DBSCAN (RMSE 2.0 m) and hierarchical clustering (RMSE 2.8 m) is particularly pronounced for elongated obstacles such as vessels and pontoons, where orientation alignment prior to clustering prevents the erroneous splitting of a single obstacle into multiple smaller clusters — a systematic failure mode of density-based and hierarchical approaches on maritime point cloud data.</w:t>
      </w:r>
    </w:p>
    <w:p>
      <w:pPr>
        <w:pStyle w:val="Heading3"/>
      </w:pPr>
      <w:r>
        <w:t>System-Level 3D Object Detection Benchmarking</w:t>
      </w:r>
    </w:p>
    <w:p>
      <w:r>
        <w:rPr>
          <w:rFonts w:ascii="Times New Roman" w:hAnsi="Times New Roman"/>
          <w:sz w:val="22"/>
        </w:rPr>
        <w:t>The complete M-ACF Net pipeline was benchmarked against five 3D detection baselines — YOLOv8-Stereo, PointPillars, Pseudo-LiDAR, Frustum PointNet, and DSGN — on the custom maritime dataset, using 3D Average Precision (AP) at IoU thresholds of 50% (ships) and 40% (buoys, bridges) across Easy, Moderate, and Hard difficulty splits (Table 5.9).</w:t>
      </w:r>
    </w:p>
    <w:p>
      <w:pPr>
        <w:spacing w:before="240" w:after="60"/>
      </w:pPr>
      <w:r>
        <w:rPr>
          <w:rFonts w:ascii="Times New Roman" w:hAnsi="Times New Roman"/>
          <w:b/>
          <w:sz w:val="20"/>
        </w:rPr>
        <w:t>Table 5.9. 3D Average Precision (%) by difficulty level for three maritime obstacle categories (IoU: 50% ships; 40% buoys/bridges; platform: NVIDIA Jetson Orin NX).</w:t>
      </w:r>
    </w:p>
    <w:tbl>
      <w:tblPr>
        <w:tblStyle w:val="TableGrid"/>
        <w:tblW w:type="auto" w:w="0"/>
        <w:tblLook w:firstColumn="1" w:firstRow="1" w:lastColumn="0" w:lastRow="0" w:noHBand="0" w:noVBand="1" w:val="04A0"/>
      </w:tblPr>
      <w:tblGrid>
        <w:gridCol w:w="524"/>
        <w:gridCol w:w="524"/>
        <w:gridCol w:w="524"/>
        <w:gridCol w:w="524"/>
        <w:gridCol w:w="524"/>
        <w:gridCol w:w="524"/>
        <w:gridCol w:w="524"/>
        <w:gridCol w:w="524"/>
        <w:gridCol w:w="524"/>
        <w:gridCol w:w="524"/>
        <w:gridCol w:w="524"/>
      </w:tblGrid>
      <w:tr>
        <w:tc>
          <w:tcPr>
            <w:tcW w:type="dxa" w:w="524"/>
            <w:shd w:val="clear" w:color="auto" w:fill="CCCCCC"/>
          </w:tcPr>
          <w:p>
            <w:r>
              <w:rPr>
                <w:rFonts w:ascii="Times New Roman" w:hAnsi="Times New Roman"/>
                <w:b/>
                <w:sz w:val="20"/>
              </w:rPr>
              <w:t>Method</w:t>
            </w:r>
          </w:p>
        </w:tc>
        <w:tc>
          <w:tcPr>
            <w:tcW w:type="dxa" w:w="524"/>
            <w:shd w:val="clear" w:color="auto" w:fill="CCCCCC"/>
          </w:tcPr>
          <w:p>
            <w:r>
              <w:rPr>
                <w:rFonts w:ascii="Times New Roman" w:hAnsi="Times New Roman"/>
                <w:b/>
                <w:sz w:val="20"/>
              </w:rPr>
              <w:t>Ship Easy</w:t>
            </w:r>
          </w:p>
        </w:tc>
        <w:tc>
          <w:tcPr>
            <w:tcW w:type="dxa" w:w="524"/>
            <w:shd w:val="clear" w:color="auto" w:fill="CCCCCC"/>
          </w:tcPr>
          <w:p>
            <w:r>
              <w:rPr>
                <w:rFonts w:ascii="Times New Roman" w:hAnsi="Times New Roman"/>
                <w:b/>
                <w:sz w:val="20"/>
              </w:rPr>
              <w:t>Ship Mod.</w:t>
            </w:r>
          </w:p>
        </w:tc>
        <w:tc>
          <w:tcPr>
            <w:tcW w:type="dxa" w:w="524"/>
            <w:shd w:val="clear" w:color="auto" w:fill="CCCCCC"/>
          </w:tcPr>
          <w:p>
            <w:r>
              <w:rPr>
                <w:rFonts w:ascii="Times New Roman" w:hAnsi="Times New Roman"/>
                <w:b/>
                <w:sz w:val="20"/>
              </w:rPr>
              <w:t>Ship Hard</w:t>
            </w:r>
          </w:p>
        </w:tc>
        <w:tc>
          <w:tcPr>
            <w:tcW w:type="dxa" w:w="524"/>
            <w:shd w:val="clear" w:color="auto" w:fill="CCCCCC"/>
          </w:tcPr>
          <w:p>
            <w:r>
              <w:rPr>
                <w:rFonts w:ascii="Times New Roman" w:hAnsi="Times New Roman"/>
                <w:b/>
                <w:sz w:val="20"/>
              </w:rPr>
              <w:t>Buoys Easy</w:t>
            </w:r>
          </w:p>
        </w:tc>
        <w:tc>
          <w:tcPr>
            <w:tcW w:type="dxa" w:w="524"/>
            <w:shd w:val="clear" w:color="auto" w:fill="CCCCCC"/>
          </w:tcPr>
          <w:p>
            <w:r>
              <w:rPr>
                <w:rFonts w:ascii="Times New Roman" w:hAnsi="Times New Roman"/>
                <w:b/>
                <w:sz w:val="20"/>
              </w:rPr>
              <w:t>Buoys Mod.</w:t>
            </w:r>
          </w:p>
        </w:tc>
        <w:tc>
          <w:tcPr>
            <w:tcW w:type="dxa" w:w="524"/>
            <w:shd w:val="clear" w:color="auto" w:fill="CCCCCC"/>
          </w:tcPr>
          <w:p>
            <w:r>
              <w:rPr>
                <w:rFonts w:ascii="Times New Roman" w:hAnsi="Times New Roman"/>
                <w:b/>
                <w:sz w:val="20"/>
              </w:rPr>
              <w:t>Buoys Hard</w:t>
            </w:r>
          </w:p>
        </w:tc>
        <w:tc>
          <w:tcPr>
            <w:tcW w:type="dxa" w:w="524"/>
            <w:shd w:val="clear" w:color="auto" w:fill="CCCCCC"/>
          </w:tcPr>
          <w:p>
            <w:r>
              <w:rPr>
                <w:rFonts w:ascii="Times New Roman" w:hAnsi="Times New Roman"/>
                <w:b/>
                <w:sz w:val="20"/>
              </w:rPr>
              <w:t>Bridge Easy</w:t>
            </w:r>
          </w:p>
        </w:tc>
        <w:tc>
          <w:tcPr>
            <w:tcW w:type="dxa" w:w="524"/>
            <w:shd w:val="clear" w:color="auto" w:fill="CCCCCC"/>
          </w:tcPr>
          <w:p>
            <w:r>
              <w:rPr>
                <w:rFonts w:ascii="Times New Roman" w:hAnsi="Times New Roman"/>
                <w:b/>
                <w:sz w:val="20"/>
              </w:rPr>
              <w:t>Bridge Mod.</w:t>
            </w:r>
          </w:p>
        </w:tc>
        <w:tc>
          <w:tcPr>
            <w:tcW w:type="dxa" w:w="524"/>
            <w:shd w:val="clear" w:color="auto" w:fill="CCCCCC"/>
          </w:tcPr>
          <w:p>
            <w:r>
              <w:rPr>
                <w:rFonts w:ascii="Times New Roman" w:hAnsi="Times New Roman"/>
                <w:b/>
                <w:sz w:val="20"/>
              </w:rPr>
              <w:t>Bridge Hard</w:t>
            </w:r>
          </w:p>
        </w:tc>
        <w:tc>
          <w:tcPr>
            <w:tcW w:type="dxa" w:w="524"/>
            <w:shd w:val="clear" w:color="auto" w:fill="CCCCCC"/>
          </w:tcPr>
          <w:p>
            <w:r>
              <w:rPr>
                <w:rFonts w:ascii="Times New Roman" w:hAnsi="Times New Roman"/>
                <w:b/>
                <w:sz w:val="20"/>
              </w:rPr>
              <w:t>FPS</w:t>
            </w:r>
          </w:p>
        </w:tc>
      </w:tr>
      <w:tr>
        <w:tc>
          <w:tcPr>
            <w:tcW w:type="dxa" w:w="524"/>
          </w:tcPr>
          <w:p>
            <w:r>
              <w:rPr>
                <w:rFonts w:ascii="Times New Roman" w:hAnsi="Times New Roman"/>
                <w:sz w:val="20"/>
              </w:rPr>
              <w:t>YOLOv8-Stereo</w:t>
            </w:r>
          </w:p>
        </w:tc>
        <w:tc>
          <w:tcPr>
            <w:tcW w:type="dxa" w:w="524"/>
          </w:tcPr>
          <w:p>
            <w:r>
              <w:rPr>
                <w:rFonts w:ascii="Times New Roman" w:hAnsi="Times New Roman"/>
                <w:sz w:val="20"/>
              </w:rPr>
              <w:t>68.2</w:t>
            </w:r>
          </w:p>
        </w:tc>
        <w:tc>
          <w:tcPr>
            <w:tcW w:type="dxa" w:w="524"/>
          </w:tcPr>
          <w:p>
            <w:r>
              <w:rPr>
                <w:rFonts w:ascii="Times New Roman" w:hAnsi="Times New Roman"/>
                <w:sz w:val="20"/>
              </w:rPr>
              <w:t>55.1</w:t>
            </w:r>
          </w:p>
        </w:tc>
        <w:tc>
          <w:tcPr>
            <w:tcW w:type="dxa" w:w="524"/>
          </w:tcPr>
          <w:p>
            <w:r>
              <w:rPr>
                <w:rFonts w:ascii="Times New Roman" w:hAnsi="Times New Roman"/>
                <w:sz w:val="20"/>
              </w:rPr>
              <w:t>42.3</w:t>
            </w:r>
          </w:p>
        </w:tc>
        <w:tc>
          <w:tcPr>
            <w:tcW w:type="dxa" w:w="524"/>
          </w:tcPr>
          <w:p>
            <w:r>
              <w:rPr>
                <w:rFonts w:ascii="Times New Roman" w:hAnsi="Times New Roman"/>
                <w:sz w:val="20"/>
              </w:rPr>
              <w:t>50.1</w:t>
            </w:r>
          </w:p>
        </w:tc>
        <w:tc>
          <w:tcPr>
            <w:tcW w:type="dxa" w:w="524"/>
          </w:tcPr>
          <w:p>
            <w:r>
              <w:rPr>
                <w:rFonts w:ascii="Times New Roman" w:hAnsi="Times New Roman"/>
                <w:sz w:val="20"/>
              </w:rPr>
              <w:t>40.2</w:t>
            </w:r>
          </w:p>
        </w:tc>
        <w:tc>
          <w:tcPr>
            <w:tcW w:type="dxa" w:w="524"/>
          </w:tcPr>
          <w:p>
            <w:r>
              <w:rPr>
                <w:rFonts w:ascii="Times New Roman" w:hAnsi="Times New Roman"/>
                <w:sz w:val="20"/>
              </w:rPr>
              <w:t>30.5</w:t>
            </w:r>
          </w:p>
        </w:tc>
        <w:tc>
          <w:tcPr>
            <w:tcW w:type="dxa" w:w="524"/>
          </w:tcPr>
          <w:p>
            <w:r>
              <w:rPr>
                <w:rFonts w:ascii="Times New Roman" w:hAnsi="Times New Roman"/>
                <w:sz w:val="20"/>
              </w:rPr>
              <w:t>45.3</w:t>
            </w:r>
          </w:p>
        </w:tc>
        <w:tc>
          <w:tcPr>
            <w:tcW w:type="dxa" w:w="524"/>
          </w:tcPr>
          <w:p>
            <w:r>
              <w:rPr>
                <w:rFonts w:ascii="Times New Roman" w:hAnsi="Times New Roman"/>
                <w:sz w:val="20"/>
              </w:rPr>
              <w:t>35.6</w:t>
            </w:r>
          </w:p>
        </w:tc>
        <w:tc>
          <w:tcPr>
            <w:tcW w:type="dxa" w:w="524"/>
          </w:tcPr>
          <w:p>
            <w:r>
              <w:rPr>
                <w:rFonts w:ascii="Times New Roman" w:hAnsi="Times New Roman"/>
                <w:sz w:val="20"/>
              </w:rPr>
              <w:t>25.8</w:t>
            </w:r>
          </w:p>
        </w:tc>
        <w:tc>
          <w:tcPr>
            <w:tcW w:type="dxa" w:w="524"/>
          </w:tcPr>
          <w:p>
            <w:r>
              <w:rPr>
                <w:rFonts w:ascii="Times New Roman" w:hAnsi="Times New Roman"/>
                <w:sz w:val="20"/>
              </w:rPr>
              <w:t>25</w:t>
            </w:r>
          </w:p>
        </w:tc>
      </w:tr>
      <w:tr>
        <w:tc>
          <w:tcPr>
            <w:tcW w:type="dxa" w:w="524"/>
          </w:tcPr>
          <w:p>
            <w:r>
              <w:rPr>
                <w:rFonts w:ascii="Times New Roman" w:hAnsi="Times New Roman"/>
                <w:sz w:val="20"/>
              </w:rPr>
              <w:t>PointPillars</w:t>
            </w:r>
          </w:p>
        </w:tc>
        <w:tc>
          <w:tcPr>
            <w:tcW w:type="dxa" w:w="524"/>
          </w:tcPr>
          <w:p>
            <w:r>
              <w:rPr>
                <w:rFonts w:ascii="Times New Roman" w:hAnsi="Times New Roman"/>
                <w:sz w:val="20"/>
              </w:rPr>
              <w:t>72.5</w:t>
            </w:r>
          </w:p>
        </w:tc>
        <w:tc>
          <w:tcPr>
            <w:tcW w:type="dxa" w:w="524"/>
          </w:tcPr>
          <w:p>
            <w:r>
              <w:rPr>
                <w:rFonts w:ascii="Times New Roman" w:hAnsi="Times New Roman"/>
                <w:sz w:val="20"/>
              </w:rPr>
              <w:t>60.8</w:t>
            </w:r>
          </w:p>
        </w:tc>
        <w:tc>
          <w:tcPr>
            <w:tcW w:type="dxa" w:w="524"/>
          </w:tcPr>
          <w:p>
            <w:r>
              <w:rPr>
                <w:rFonts w:ascii="Times New Roman" w:hAnsi="Times New Roman"/>
                <w:sz w:val="20"/>
              </w:rPr>
              <w:t>48.6</w:t>
            </w:r>
          </w:p>
        </w:tc>
        <w:tc>
          <w:tcPr>
            <w:tcW w:type="dxa" w:w="524"/>
          </w:tcPr>
          <w:p>
            <w:r>
              <w:rPr>
                <w:rFonts w:ascii="Times New Roman" w:hAnsi="Times New Roman"/>
                <w:sz w:val="20"/>
              </w:rPr>
              <w:t>55.7</w:t>
            </w:r>
          </w:p>
        </w:tc>
        <w:tc>
          <w:tcPr>
            <w:tcW w:type="dxa" w:w="524"/>
          </w:tcPr>
          <w:p>
            <w:r>
              <w:rPr>
                <w:rFonts w:ascii="Times New Roman" w:hAnsi="Times New Roman"/>
                <w:sz w:val="20"/>
              </w:rPr>
              <w:t>45.3</w:t>
            </w:r>
          </w:p>
        </w:tc>
        <w:tc>
          <w:tcPr>
            <w:tcW w:type="dxa" w:w="524"/>
          </w:tcPr>
          <w:p>
            <w:r>
              <w:rPr>
                <w:rFonts w:ascii="Times New Roman" w:hAnsi="Times New Roman"/>
                <w:sz w:val="20"/>
              </w:rPr>
              <w:t>33.2</w:t>
            </w:r>
          </w:p>
        </w:tc>
        <w:tc>
          <w:tcPr>
            <w:tcW w:type="dxa" w:w="524"/>
          </w:tcPr>
          <w:p>
            <w:r>
              <w:rPr>
                <w:rFonts w:ascii="Times New Roman" w:hAnsi="Times New Roman"/>
                <w:sz w:val="20"/>
              </w:rPr>
              <w:t>50.2</w:t>
            </w:r>
          </w:p>
        </w:tc>
        <w:tc>
          <w:tcPr>
            <w:tcW w:type="dxa" w:w="524"/>
          </w:tcPr>
          <w:p>
            <w:r>
              <w:rPr>
                <w:rFonts w:ascii="Times New Roman" w:hAnsi="Times New Roman"/>
                <w:sz w:val="20"/>
              </w:rPr>
              <w:t>40.1</w:t>
            </w:r>
          </w:p>
        </w:tc>
        <w:tc>
          <w:tcPr>
            <w:tcW w:type="dxa" w:w="524"/>
          </w:tcPr>
          <w:p>
            <w:r>
              <w:rPr>
                <w:rFonts w:ascii="Times New Roman" w:hAnsi="Times New Roman"/>
                <w:sz w:val="20"/>
              </w:rPr>
              <w:t>28.4</w:t>
            </w:r>
          </w:p>
        </w:tc>
        <w:tc>
          <w:tcPr>
            <w:tcW w:type="dxa" w:w="524"/>
          </w:tcPr>
          <w:p>
            <w:r>
              <w:rPr>
                <w:rFonts w:ascii="Times New Roman" w:hAnsi="Times New Roman"/>
                <w:sz w:val="20"/>
              </w:rPr>
              <w:t>18</w:t>
            </w:r>
          </w:p>
        </w:tc>
      </w:tr>
      <w:tr>
        <w:tc>
          <w:tcPr>
            <w:tcW w:type="dxa" w:w="524"/>
          </w:tcPr>
          <w:p>
            <w:r>
              <w:rPr>
                <w:rFonts w:ascii="Times New Roman" w:hAnsi="Times New Roman"/>
                <w:sz w:val="20"/>
              </w:rPr>
              <w:t>Pseudo-LiDAR</w:t>
            </w:r>
          </w:p>
        </w:tc>
        <w:tc>
          <w:tcPr>
            <w:tcW w:type="dxa" w:w="524"/>
          </w:tcPr>
          <w:p>
            <w:r>
              <w:rPr>
                <w:rFonts w:ascii="Times New Roman" w:hAnsi="Times New Roman"/>
                <w:sz w:val="20"/>
              </w:rPr>
              <w:t>75.1</w:t>
            </w:r>
          </w:p>
        </w:tc>
        <w:tc>
          <w:tcPr>
            <w:tcW w:type="dxa" w:w="524"/>
          </w:tcPr>
          <w:p>
            <w:r>
              <w:rPr>
                <w:rFonts w:ascii="Times New Roman" w:hAnsi="Times New Roman"/>
                <w:sz w:val="20"/>
              </w:rPr>
              <w:t>63.4</w:t>
            </w:r>
          </w:p>
        </w:tc>
        <w:tc>
          <w:tcPr>
            <w:tcW w:type="dxa" w:w="524"/>
          </w:tcPr>
          <w:p>
            <w:r>
              <w:rPr>
                <w:rFonts w:ascii="Times New Roman" w:hAnsi="Times New Roman"/>
                <w:sz w:val="20"/>
              </w:rPr>
              <w:t>50.2</w:t>
            </w:r>
          </w:p>
        </w:tc>
        <w:tc>
          <w:tcPr>
            <w:tcW w:type="dxa" w:w="524"/>
          </w:tcPr>
          <w:p>
            <w:r>
              <w:rPr>
                <w:rFonts w:ascii="Times New Roman" w:hAnsi="Times New Roman"/>
                <w:sz w:val="20"/>
              </w:rPr>
              <w:t>58.9</w:t>
            </w:r>
          </w:p>
        </w:tc>
        <w:tc>
          <w:tcPr>
            <w:tcW w:type="dxa" w:w="524"/>
          </w:tcPr>
          <w:p>
            <w:r>
              <w:rPr>
                <w:rFonts w:ascii="Times New Roman" w:hAnsi="Times New Roman"/>
                <w:sz w:val="20"/>
              </w:rPr>
              <w:t>47.1</w:t>
            </w:r>
          </w:p>
        </w:tc>
        <w:tc>
          <w:tcPr>
            <w:tcW w:type="dxa" w:w="524"/>
          </w:tcPr>
          <w:p>
            <w:r>
              <w:rPr>
                <w:rFonts w:ascii="Times New Roman" w:hAnsi="Times New Roman"/>
                <w:sz w:val="20"/>
              </w:rPr>
              <w:t>35.0</w:t>
            </w:r>
          </w:p>
        </w:tc>
        <w:tc>
          <w:tcPr>
            <w:tcW w:type="dxa" w:w="524"/>
          </w:tcPr>
          <w:p>
            <w:r>
              <w:rPr>
                <w:rFonts w:ascii="Times New Roman" w:hAnsi="Times New Roman"/>
                <w:sz w:val="20"/>
              </w:rPr>
              <w:t>52.4</w:t>
            </w:r>
          </w:p>
        </w:tc>
        <w:tc>
          <w:tcPr>
            <w:tcW w:type="dxa" w:w="524"/>
          </w:tcPr>
          <w:p>
            <w:r>
              <w:rPr>
                <w:rFonts w:ascii="Times New Roman" w:hAnsi="Times New Roman"/>
                <w:sz w:val="20"/>
              </w:rPr>
              <w:t>42.3</w:t>
            </w:r>
          </w:p>
        </w:tc>
        <w:tc>
          <w:tcPr>
            <w:tcW w:type="dxa" w:w="524"/>
          </w:tcPr>
          <w:p>
            <w:r>
              <w:rPr>
                <w:rFonts w:ascii="Times New Roman" w:hAnsi="Times New Roman"/>
                <w:sz w:val="20"/>
              </w:rPr>
              <w:t>30.1</w:t>
            </w:r>
          </w:p>
        </w:tc>
        <w:tc>
          <w:tcPr>
            <w:tcW w:type="dxa" w:w="524"/>
          </w:tcPr>
          <w:p>
            <w:r>
              <w:rPr>
                <w:rFonts w:ascii="Times New Roman" w:hAnsi="Times New Roman"/>
                <w:sz w:val="20"/>
              </w:rPr>
              <w:t>15</w:t>
            </w:r>
          </w:p>
        </w:tc>
      </w:tr>
      <w:tr>
        <w:tc>
          <w:tcPr>
            <w:tcW w:type="dxa" w:w="524"/>
          </w:tcPr>
          <w:p>
            <w:r>
              <w:rPr>
                <w:rFonts w:ascii="Times New Roman" w:hAnsi="Times New Roman"/>
                <w:sz w:val="20"/>
              </w:rPr>
              <w:t>Frustum PointNet</w:t>
            </w:r>
          </w:p>
        </w:tc>
        <w:tc>
          <w:tcPr>
            <w:tcW w:type="dxa" w:w="524"/>
          </w:tcPr>
          <w:p>
            <w:r>
              <w:rPr>
                <w:rFonts w:ascii="Times New Roman" w:hAnsi="Times New Roman"/>
                <w:sz w:val="20"/>
              </w:rPr>
              <w:t>70.8</w:t>
            </w:r>
          </w:p>
        </w:tc>
        <w:tc>
          <w:tcPr>
            <w:tcW w:type="dxa" w:w="524"/>
          </w:tcPr>
          <w:p>
            <w:r>
              <w:rPr>
                <w:rFonts w:ascii="Times New Roman" w:hAnsi="Times New Roman"/>
                <w:sz w:val="20"/>
              </w:rPr>
              <w:t>58.3</w:t>
            </w:r>
          </w:p>
        </w:tc>
        <w:tc>
          <w:tcPr>
            <w:tcW w:type="dxa" w:w="524"/>
          </w:tcPr>
          <w:p>
            <w:r>
              <w:rPr>
                <w:rFonts w:ascii="Times New Roman" w:hAnsi="Times New Roman"/>
                <w:sz w:val="20"/>
              </w:rPr>
              <w:t>45.9</w:t>
            </w:r>
          </w:p>
        </w:tc>
        <w:tc>
          <w:tcPr>
            <w:tcW w:type="dxa" w:w="524"/>
          </w:tcPr>
          <w:p>
            <w:r>
              <w:rPr>
                <w:rFonts w:ascii="Times New Roman" w:hAnsi="Times New Roman"/>
                <w:sz w:val="20"/>
              </w:rPr>
              <w:t>53.2</w:t>
            </w:r>
          </w:p>
        </w:tc>
        <w:tc>
          <w:tcPr>
            <w:tcW w:type="dxa" w:w="524"/>
          </w:tcPr>
          <w:p>
            <w:r>
              <w:rPr>
                <w:rFonts w:ascii="Times New Roman" w:hAnsi="Times New Roman"/>
                <w:sz w:val="20"/>
              </w:rPr>
              <w:t>43.8</w:t>
            </w:r>
          </w:p>
        </w:tc>
        <w:tc>
          <w:tcPr>
            <w:tcW w:type="dxa" w:w="524"/>
          </w:tcPr>
          <w:p>
            <w:r>
              <w:rPr>
                <w:rFonts w:ascii="Times New Roman" w:hAnsi="Times New Roman"/>
                <w:sz w:val="20"/>
              </w:rPr>
              <w:t>32.7</w:t>
            </w:r>
          </w:p>
        </w:tc>
        <w:tc>
          <w:tcPr>
            <w:tcW w:type="dxa" w:w="524"/>
          </w:tcPr>
          <w:p>
            <w:r>
              <w:rPr>
                <w:rFonts w:ascii="Times New Roman" w:hAnsi="Times New Roman"/>
                <w:sz w:val="20"/>
              </w:rPr>
              <w:t>48.6</w:t>
            </w:r>
          </w:p>
        </w:tc>
        <w:tc>
          <w:tcPr>
            <w:tcW w:type="dxa" w:w="524"/>
          </w:tcPr>
          <w:p>
            <w:r>
              <w:rPr>
                <w:rFonts w:ascii="Times New Roman" w:hAnsi="Times New Roman"/>
                <w:sz w:val="20"/>
              </w:rPr>
              <w:t>38.9</w:t>
            </w:r>
          </w:p>
        </w:tc>
        <w:tc>
          <w:tcPr>
            <w:tcW w:type="dxa" w:w="524"/>
          </w:tcPr>
          <w:p>
            <w:r>
              <w:rPr>
                <w:rFonts w:ascii="Times New Roman" w:hAnsi="Times New Roman"/>
                <w:sz w:val="20"/>
              </w:rPr>
              <w:t>27.5</w:t>
            </w:r>
          </w:p>
        </w:tc>
        <w:tc>
          <w:tcPr>
            <w:tcW w:type="dxa" w:w="524"/>
          </w:tcPr>
          <w:p>
            <w:r>
              <w:rPr>
                <w:rFonts w:ascii="Times New Roman" w:hAnsi="Times New Roman"/>
                <w:sz w:val="20"/>
              </w:rPr>
              <w:t>10</w:t>
            </w:r>
          </w:p>
        </w:tc>
      </w:tr>
      <w:tr>
        <w:tc>
          <w:tcPr>
            <w:tcW w:type="dxa" w:w="524"/>
          </w:tcPr>
          <w:p>
            <w:r>
              <w:rPr>
                <w:rFonts w:ascii="Times New Roman" w:hAnsi="Times New Roman"/>
                <w:sz w:val="20"/>
              </w:rPr>
              <w:t>DSGN</w:t>
            </w:r>
          </w:p>
        </w:tc>
        <w:tc>
          <w:tcPr>
            <w:tcW w:type="dxa" w:w="524"/>
          </w:tcPr>
          <w:p>
            <w:r>
              <w:rPr>
                <w:rFonts w:ascii="Times New Roman" w:hAnsi="Times New Roman"/>
                <w:sz w:val="20"/>
              </w:rPr>
              <w:t>77.3</w:t>
            </w:r>
          </w:p>
        </w:tc>
        <w:tc>
          <w:tcPr>
            <w:tcW w:type="dxa" w:w="524"/>
          </w:tcPr>
          <w:p>
            <w:r>
              <w:rPr>
                <w:rFonts w:ascii="Times New Roman" w:hAnsi="Times New Roman"/>
                <w:sz w:val="20"/>
              </w:rPr>
              <w:t>65.0</w:t>
            </w:r>
          </w:p>
        </w:tc>
        <w:tc>
          <w:tcPr>
            <w:tcW w:type="dxa" w:w="524"/>
          </w:tcPr>
          <w:p>
            <w:r>
              <w:rPr>
                <w:rFonts w:ascii="Times New Roman" w:hAnsi="Times New Roman"/>
                <w:sz w:val="20"/>
              </w:rPr>
              <w:t>52.4</w:t>
            </w:r>
          </w:p>
        </w:tc>
        <w:tc>
          <w:tcPr>
            <w:tcW w:type="dxa" w:w="524"/>
          </w:tcPr>
          <w:p>
            <w:r>
              <w:rPr>
                <w:rFonts w:ascii="Times New Roman" w:hAnsi="Times New Roman"/>
                <w:sz w:val="20"/>
              </w:rPr>
              <w:t>60.5</w:t>
            </w:r>
          </w:p>
        </w:tc>
        <w:tc>
          <w:tcPr>
            <w:tcW w:type="dxa" w:w="524"/>
          </w:tcPr>
          <w:p>
            <w:r>
              <w:rPr>
                <w:rFonts w:ascii="Times New Roman" w:hAnsi="Times New Roman"/>
                <w:sz w:val="20"/>
              </w:rPr>
              <w:t>49.8</w:t>
            </w:r>
          </w:p>
        </w:tc>
        <w:tc>
          <w:tcPr>
            <w:tcW w:type="dxa" w:w="524"/>
          </w:tcPr>
          <w:p>
            <w:r>
              <w:rPr>
                <w:rFonts w:ascii="Times New Roman" w:hAnsi="Times New Roman"/>
                <w:sz w:val="20"/>
              </w:rPr>
              <w:t>37.6</w:t>
            </w:r>
          </w:p>
        </w:tc>
        <w:tc>
          <w:tcPr>
            <w:tcW w:type="dxa" w:w="524"/>
          </w:tcPr>
          <w:p>
            <w:r>
              <w:rPr>
                <w:rFonts w:ascii="Times New Roman" w:hAnsi="Times New Roman"/>
                <w:sz w:val="20"/>
              </w:rPr>
              <w:t>54.7</w:t>
            </w:r>
          </w:p>
        </w:tc>
        <w:tc>
          <w:tcPr>
            <w:tcW w:type="dxa" w:w="524"/>
          </w:tcPr>
          <w:p>
            <w:r>
              <w:rPr>
                <w:rFonts w:ascii="Times New Roman" w:hAnsi="Times New Roman"/>
                <w:sz w:val="20"/>
              </w:rPr>
              <w:t>44.5</w:t>
            </w:r>
          </w:p>
        </w:tc>
        <w:tc>
          <w:tcPr>
            <w:tcW w:type="dxa" w:w="524"/>
          </w:tcPr>
          <w:p>
            <w:r>
              <w:rPr>
                <w:rFonts w:ascii="Times New Roman" w:hAnsi="Times New Roman"/>
                <w:sz w:val="20"/>
              </w:rPr>
              <w:t>32.9</w:t>
            </w:r>
          </w:p>
        </w:tc>
        <w:tc>
          <w:tcPr>
            <w:tcW w:type="dxa" w:w="524"/>
          </w:tcPr>
          <w:p>
            <w:r>
              <w:rPr>
                <w:rFonts w:ascii="Times New Roman" w:hAnsi="Times New Roman"/>
                <w:sz w:val="20"/>
              </w:rPr>
              <w:t>20</w:t>
            </w:r>
          </w:p>
        </w:tc>
      </w:tr>
      <w:tr>
        <w:tc>
          <w:tcPr>
            <w:tcW w:type="dxa" w:w="524"/>
          </w:tcPr>
          <w:p>
            <w:r>
              <w:rPr>
                <w:rFonts w:ascii="Times New Roman" w:hAnsi="Times New Roman"/>
                <w:b/>
                <w:sz w:val="20"/>
              </w:rPr>
              <w:t>M-ACF Net</w:t>
            </w:r>
          </w:p>
        </w:tc>
        <w:tc>
          <w:tcPr>
            <w:tcW w:type="dxa" w:w="524"/>
          </w:tcPr>
          <w:p>
            <w:r>
              <w:rPr>
                <w:rFonts w:ascii="Times New Roman" w:hAnsi="Times New Roman"/>
                <w:b/>
                <w:sz w:val="20"/>
              </w:rPr>
              <w:t>82.6</w:t>
            </w:r>
          </w:p>
        </w:tc>
        <w:tc>
          <w:tcPr>
            <w:tcW w:type="dxa" w:w="524"/>
          </w:tcPr>
          <w:p>
            <w:r>
              <w:rPr>
                <w:rFonts w:ascii="Times New Roman" w:hAnsi="Times New Roman"/>
                <w:b/>
                <w:sz w:val="20"/>
              </w:rPr>
              <w:t>70.8</w:t>
            </w:r>
          </w:p>
        </w:tc>
        <w:tc>
          <w:tcPr>
            <w:tcW w:type="dxa" w:w="524"/>
          </w:tcPr>
          <w:p>
            <w:r>
              <w:rPr>
                <w:rFonts w:ascii="Times New Roman" w:hAnsi="Times New Roman"/>
                <w:b/>
                <w:sz w:val="20"/>
              </w:rPr>
              <w:t>58.3</w:t>
            </w:r>
          </w:p>
        </w:tc>
        <w:tc>
          <w:tcPr>
            <w:tcW w:type="dxa" w:w="524"/>
          </w:tcPr>
          <w:p>
            <w:r>
              <w:rPr>
                <w:rFonts w:ascii="Times New Roman" w:hAnsi="Times New Roman"/>
                <w:b/>
                <w:sz w:val="20"/>
              </w:rPr>
              <w:t>65.2</w:t>
            </w:r>
          </w:p>
        </w:tc>
        <w:tc>
          <w:tcPr>
            <w:tcW w:type="dxa" w:w="524"/>
          </w:tcPr>
          <w:p>
            <w:r>
              <w:rPr>
                <w:rFonts w:ascii="Times New Roman" w:hAnsi="Times New Roman"/>
                <w:b/>
                <w:sz w:val="20"/>
              </w:rPr>
              <w:t>53.4</w:t>
            </w:r>
          </w:p>
        </w:tc>
        <w:tc>
          <w:tcPr>
            <w:tcW w:type="dxa" w:w="524"/>
          </w:tcPr>
          <w:p>
            <w:r>
              <w:rPr>
                <w:rFonts w:ascii="Times New Roman" w:hAnsi="Times New Roman"/>
                <w:b/>
                <w:sz w:val="20"/>
              </w:rPr>
              <w:t>41.7</w:t>
            </w:r>
          </w:p>
        </w:tc>
        <w:tc>
          <w:tcPr>
            <w:tcW w:type="dxa" w:w="524"/>
          </w:tcPr>
          <w:p>
            <w:r>
              <w:rPr>
                <w:rFonts w:ascii="Times New Roman" w:hAnsi="Times New Roman"/>
                <w:b/>
                <w:sz w:val="20"/>
              </w:rPr>
              <w:t>59.8</w:t>
            </w:r>
          </w:p>
        </w:tc>
        <w:tc>
          <w:tcPr>
            <w:tcW w:type="dxa" w:w="524"/>
          </w:tcPr>
          <w:p>
            <w:r>
              <w:rPr>
                <w:rFonts w:ascii="Times New Roman" w:hAnsi="Times New Roman"/>
                <w:b/>
                <w:sz w:val="20"/>
              </w:rPr>
              <w:t>48.9</w:t>
            </w:r>
          </w:p>
        </w:tc>
        <w:tc>
          <w:tcPr>
            <w:tcW w:type="dxa" w:w="524"/>
          </w:tcPr>
          <w:p>
            <w:r>
              <w:rPr>
                <w:rFonts w:ascii="Times New Roman" w:hAnsi="Times New Roman"/>
                <w:b/>
                <w:sz w:val="20"/>
              </w:rPr>
              <w:t>36.5</w:t>
            </w:r>
          </w:p>
        </w:tc>
        <w:tc>
          <w:tcPr>
            <w:tcW w:type="dxa" w:w="524"/>
          </w:tcPr>
          <w:p>
            <w:r>
              <w:rPr>
                <w:rFonts w:ascii="Times New Roman" w:hAnsi="Times New Roman"/>
                <w:sz w:val="20"/>
              </w:rPr>
              <w:t>18</w:t>
            </w:r>
          </w:p>
        </w:tc>
      </w:tr>
    </w:tbl>
    <w:p>
      <w:pPr>
        <w:spacing w:after="120"/>
      </w:pPr>
    </w:p>
    <w:p>
      <w:r>
        <w:rPr>
          <w:rFonts w:ascii="Times New Roman" w:hAnsi="Times New Roman"/>
          <w:sz w:val="22"/>
        </w:rPr>
        <w:t>M-ACF Net achieves the highest 3D AP across all three categories and all difficulty levels. For ships — the primary obstacle category in USV navigation — the system attains 82.6% / 70.8% / 58.3% on Easy / Moderate / Hard splits, compared with 77.3% / 65.0% / 52.4% for the best single-method baseline (DSGN). The absolute improvement is most pronounced on the Hard difficulty split (ships: +5.9 pp; buoys: +4.1 pp; bridges: +3.6 pp) — precisely the scenario of greatest operational relevance, where targets are small, distant, or partially occluded. M-ACF Net achieves these gains at 18 FPS, matching PointPillars throughput and far exceeding the 10 FPS of Frustum PointNet, confirming the suitability of the confidence-weighted mid-level fusion architecture for real-time edge deployment.</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5.9 ]</w:t>
            </w:r>
          </w:p>
          <w:p>
            <w:pPr>
              <w:jc w:val="center"/>
            </w:pPr>
            <w:r>
              <w:rPr>
                <w:i/>
                <w:color w:val="6E6E6E"/>
                <w:sz w:val="18"/>
              </w:rPr>
              <w:t>Grouped bar chart comparing 3D AP for M-ACF Net vs. five baselines across Ship / Buoys / Bridge categories at Easy, Mod., Hard difficulty. Source: Authors.</w:t>
            </w:r>
          </w:p>
        </w:tc>
      </w:tr>
    </w:tbl>
    <w:p>
      <w:pPr>
        <w:spacing w:before="60" w:after="240"/>
        <w:jc w:val="center"/>
      </w:pPr>
      <w:r>
        <w:rPr>
          <w:rFonts w:ascii="Times New Roman" w:hAnsi="Times New Roman"/>
          <w:i/>
          <w:sz w:val="20"/>
        </w:rPr>
        <w:t>Figure 5.9. 3D object detection benchmark: M-ACF Net achieves highest AP across all three maritime obstacle categories and difficulty levels, with the largest margin on Hard-difficulty targets (5.9 pp over nearest baseline for ships).</w:t>
      </w:r>
    </w:p>
    <w:p>
      <w:pPr>
        <w:pStyle w:val="Heading3"/>
      </w:pPr>
      <w:r>
        <w:t>Real-World Navigation and Obstacle Avoidance Trials</w:t>
      </w:r>
    </w:p>
    <w:p>
      <w:r>
        <w:rPr>
          <w:rFonts w:ascii="Times New Roman" w:hAnsi="Times New Roman"/>
          <w:sz w:val="22"/>
        </w:rPr>
        <w:t>Four obstacle avoidance scenarios were executed with the Suraya Riptide operating under full M-ACF Net autonomous control in Malaysian waterways. Scenarios were designed to span the principal COLREGs encounter types: head-on (Scenario 1 and 3), crossing (Scenario 2), and stationary-obstacle (Scenario 4). In all four scenarios, the system achieved zero collisions. Table 5.10 summarises the key performance metrics.</w:t>
      </w:r>
    </w:p>
    <w:p>
      <w:pPr>
        <w:spacing w:before="240" w:after="60"/>
      </w:pPr>
      <w:r>
        <w:rPr>
          <w:rFonts w:ascii="Times New Roman" w:hAnsi="Times New Roman"/>
          <w:b/>
          <w:sz w:val="20"/>
        </w:rPr>
        <w:t>Table 5.10. Autonomous obstacle avoidance trial results across four COLREGs encounter scenarios (all scenarios: zero collisions).</w:t>
      </w:r>
    </w:p>
    <w:tbl>
      <w:tblPr>
        <w:tblStyle w:val="TableGrid"/>
        <w:tblW w:type="auto" w:w="0"/>
        <w:tblLook w:firstColumn="1" w:firstRow="1" w:lastColumn="0" w:lastRow="0" w:noHBand="0" w:noVBand="1" w:val="04A0"/>
      </w:tblPr>
      <w:tblGrid>
        <w:gridCol w:w="823"/>
        <w:gridCol w:w="823"/>
        <w:gridCol w:w="823"/>
        <w:gridCol w:w="823"/>
        <w:gridCol w:w="823"/>
        <w:gridCol w:w="823"/>
        <w:gridCol w:w="823"/>
      </w:tblGrid>
      <w:tr>
        <w:tc>
          <w:tcPr>
            <w:tcW w:type="dxa" w:w="823"/>
            <w:shd w:val="clear" w:color="auto" w:fill="CCCCCC"/>
          </w:tcPr>
          <w:p>
            <w:r>
              <w:rPr>
                <w:rFonts w:ascii="Times New Roman" w:hAnsi="Times New Roman"/>
                <w:b/>
                <w:sz w:val="20"/>
              </w:rPr>
              <w:t>Scenario</w:t>
            </w:r>
          </w:p>
        </w:tc>
        <w:tc>
          <w:tcPr>
            <w:tcW w:type="dxa" w:w="823"/>
            <w:shd w:val="clear" w:color="auto" w:fill="CCCCCC"/>
          </w:tcPr>
          <w:p>
            <w:r>
              <w:rPr>
                <w:rFonts w:ascii="Times New Roman" w:hAnsi="Times New Roman"/>
                <w:b/>
                <w:sz w:val="20"/>
              </w:rPr>
              <w:t>Encounter Type</w:t>
            </w:r>
          </w:p>
        </w:tc>
        <w:tc>
          <w:tcPr>
            <w:tcW w:type="dxa" w:w="823"/>
            <w:shd w:val="clear" w:color="auto" w:fill="CCCCCC"/>
          </w:tcPr>
          <w:p>
            <w:r>
              <w:rPr>
                <w:rFonts w:ascii="Times New Roman" w:hAnsi="Times New Roman"/>
                <w:b/>
                <w:sz w:val="20"/>
              </w:rPr>
              <w:t>Detection Range (m)</w:t>
            </w:r>
          </w:p>
        </w:tc>
        <w:tc>
          <w:tcPr>
            <w:tcW w:type="dxa" w:w="823"/>
            <w:shd w:val="clear" w:color="auto" w:fill="CCCCCC"/>
          </w:tcPr>
          <w:p>
            <w:r>
              <w:rPr>
                <w:rFonts w:ascii="Times New Roman" w:hAnsi="Times New Roman"/>
                <w:b/>
                <w:sz w:val="20"/>
              </w:rPr>
              <w:t>Detection Time (s)</w:t>
            </w:r>
          </w:p>
        </w:tc>
        <w:tc>
          <w:tcPr>
            <w:tcW w:type="dxa" w:w="823"/>
            <w:shd w:val="clear" w:color="auto" w:fill="CCCCCC"/>
          </w:tcPr>
          <w:p>
            <w:r>
              <w:rPr>
                <w:rFonts w:ascii="Times New Roman" w:hAnsi="Times New Roman"/>
                <w:b/>
                <w:sz w:val="20"/>
              </w:rPr>
              <w:t>Reaction Time (s)</w:t>
            </w:r>
          </w:p>
        </w:tc>
        <w:tc>
          <w:tcPr>
            <w:tcW w:type="dxa" w:w="823"/>
            <w:shd w:val="clear" w:color="auto" w:fill="CCCCCC"/>
          </w:tcPr>
          <w:p>
            <w:r>
              <w:rPr>
                <w:rFonts w:ascii="Times New Roman" w:hAnsi="Times New Roman"/>
                <w:b/>
                <w:sz w:val="20"/>
              </w:rPr>
              <w:t>Path Deviation (m)</w:t>
            </w:r>
          </w:p>
        </w:tc>
        <w:tc>
          <w:tcPr>
            <w:tcW w:type="dxa" w:w="823"/>
            <w:shd w:val="clear" w:color="auto" w:fill="CCCCCC"/>
          </w:tcPr>
          <w:p>
            <w:r>
              <w:rPr>
                <w:rFonts w:ascii="Times New Roman" w:hAnsi="Times New Roman"/>
                <w:b/>
                <w:sz w:val="20"/>
              </w:rPr>
              <w:t>Min. CPA (m)</w:t>
            </w:r>
          </w:p>
        </w:tc>
      </w:tr>
      <w:tr>
        <w:tc>
          <w:tcPr>
            <w:tcW w:type="dxa" w:w="823"/>
          </w:tcPr>
          <w:p>
            <w:r>
              <w:rPr>
                <w:rFonts w:ascii="Times New Roman" w:hAnsi="Times New Roman"/>
                <w:sz w:val="20"/>
              </w:rPr>
              <w:t>1 — Dynamic head-on</w:t>
            </w:r>
          </w:p>
        </w:tc>
        <w:tc>
          <w:tcPr>
            <w:tcW w:type="dxa" w:w="823"/>
          </w:tcPr>
          <w:p>
            <w:r>
              <w:rPr>
                <w:rFonts w:ascii="Times New Roman" w:hAnsi="Times New Roman"/>
                <w:sz w:val="20"/>
              </w:rPr>
              <w:t>Head-on (oncoming)</w:t>
            </w:r>
          </w:p>
        </w:tc>
        <w:tc>
          <w:tcPr>
            <w:tcW w:type="dxa" w:w="823"/>
          </w:tcPr>
          <w:p>
            <w:r>
              <w:rPr>
                <w:rFonts w:ascii="Times New Roman" w:hAnsi="Times New Roman"/>
                <w:sz w:val="20"/>
              </w:rPr>
              <w:t>8.0</w:t>
            </w:r>
          </w:p>
        </w:tc>
        <w:tc>
          <w:tcPr>
            <w:tcW w:type="dxa" w:w="823"/>
          </w:tcPr>
          <w:p>
            <w:r>
              <w:rPr>
                <w:rFonts w:ascii="Times New Roman" w:hAnsi="Times New Roman"/>
                <w:sz w:val="20"/>
              </w:rPr>
              <w:t>1.5</w:t>
            </w:r>
          </w:p>
        </w:tc>
        <w:tc>
          <w:tcPr>
            <w:tcW w:type="dxa" w:w="823"/>
          </w:tcPr>
          <w:p>
            <w:r>
              <w:rPr>
                <w:rFonts w:ascii="Times New Roman" w:hAnsi="Times New Roman"/>
                <w:sz w:val="20"/>
              </w:rPr>
              <w:t>1.2</w:t>
            </w:r>
          </w:p>
        </w:tc>
        <w:tc>
          <w:tcPr>
            <w:tcW w:type="dxa" w:w="823"/>
          </w:tcPr>
          <w:p>
            <w:r>
              <w:rPr>
                <w:rFonts w:ascii="Times New Roman" w:hAnsi="Times New Roman"/>
                <w:sz w:val="20"/>
              </w:rPr>
              <w:t>9.0</w:t>
            </w:r>
          </w:p>
        </w:tc>
        <w:tc>
          <w:tcPr>
            <w:tcW w:type="dxa" w:w="823"/>
          </w:tcPr>
          <w:p>
            <w:r>
              <w:rPr>
                <w:rFonts w:ascii="Times New Roman" w:hAnsi="Times New Roman"/>
                <w:sz w:val="20"/>
              </w:rPr>
              <w:t>5.0  (3.3× vessel length)</w:t>
            </w:r>
          </w:p>
        </w:tc>
      </w:tr>
      <w:tr>
        <w:tc>
          <w:tcPr>
            <w:tcW w:type="dxa" w:w="823"/>
          </w:tcPr>
          <w:p>
            <w:r>
              <w:rPr>
                <w:rFonts w:ascii="Times New Roman" w:hAnsi="Times New Roman"/>
                <w:sz w:val="20"/>
              </w:rPr>
              <w:t>2 — Crossing (Rule 15)</w:t>
            </w:r>
          </w:p>
        </w:tc>
        <w:tc>
          <w:tcPr>
            <w:tcW w:type="dxa" w:w="823"/>
          </w:tcPr>
          <w:p>
            <w:r>
              <w:rPr>
                <w:rFonts w:ascii="Times New Roman" w:hAnsi="Times New Roman"/>
                <w:sz w:val="20"/>
              </w:rPr>
              <w:t>Crossing, stand-on USV</w:t>
            </w:r>
          </w:p>
        </w:tc>
        <w:tc>
          <w:tcPr>
            <w:tcW w:type="dxa" w:w="823"/>
          </w:tcPr>
          <w:p>
            <w:r>
              <w:rPr>
                <w:rFonts w:ascii="Times New Roman" w:hAnsi="Times New Roman"/>
                <w:sz w:val="20"/>
              </w:rPr>
              <w:t>10.0</w:t>
            </w:r>
          </w:p>
        </w:tc>
        <w:tc>
          <w:tcPr>
            <w:tcW w:type="dxa" w:w="823"/>
          </w:tcPr>
          <w:p>
            <w:r>
              <w:rPr>
                <w:rFonts w:ascii="Times New Roman" w:hAnsi="Times New Roman"/>
                <w:sz w:val="20"/>
              </w:rPr>
              <w:t>2.0</w:t>
            </w:r>
          </w:p>
        </w:tc>
        <w:tc>
          <w:tcPr>
            <w:tcW w:type="dxa" w:w="823"/>
          </w:tcPr>
          <w:p>
            <w:r>
              <w:rPr>
                <w:rFonts w:ascii="Times New Roman" w:hAnsi="Times New Roman"/>
                <w:sz w:val="20"/>
              </w:rPr>
              <w:t>1.5</w:t>
            </w:r>
          </w:p>
        </w:tc>
        <w:tc>
          <w:tcPr>
            <w:tcW w:type="dxa" w:w="823"/>
          </w:tcPr>
          <w:p>
            <w:r>
              <w:rPr>
                <w:rFonts w:ascii="Times New Roman" w:hAnsi="Times New Roman"/>
                <w:sz w:val="20"/>
              </w:rPr>
              <w:t>6.5</w:t>
            </w:r>
          </w:p>
        </w:tc>
        <w:tc>
          <w:tcPr>
            <w:tcW w:type="dxa" w:w="823"/>
          </w:tcPr>
          <w:p>
            <w:r>
              <w:rPr>
                <w:rFonts w:ascii="Times New Roman" w:hAnsi="Times New Roman"/>
                <w:sz w:val="20"/>
              </w:rPr>
              <w:t>7.0</w:t>
            </w:r>
          </w:p>
        </w:tc>
      </w:tr>
      <w:tr>
        <w:tc>
          <w:tcPr>
            <w:tcW w:type="dxa" w:w="823"/>
          </w:tcPr>
          <w:p>
            <w:r>
              <w:rPr>
                <w:rFonts w:ascii="Times New Roman" w:hAnsi="Times New Roman"/>
                <w:sz w:val="20"/>
              </w:rPr>
              <w:t>3 — Turning into obstacle</w:t>
            </w:r>
          </w:p>
        </w:tc>
        <w:tc>
          <w:tcPr>
            <w:tcW w:type="dxa" w:w="823"/>
          </w:tcPr>
          <w:p>
            <w:r>
              <w:rPr>
                <w:rFonts w:ascii="Times New Roman" w:hAnsi="Times New Roman"/>
                <w:sz w:val="20"/>
              </w:rPr>
              <w:t>Head-on (converging)</w:t>
            </w:r>
          </w:p>
        </w:tc>
        <w:tc>
          <w:tcPr>
            <w:tcW w:type="dxa" w:w="823"/>
          </w:tcPr>
          <w:p>
            <w:r>
              <w:rPr>
                <w:rFonts w:ascii="Times New Roman" w:hAnsi="Times New Roman"/>
                <w:sz w:val="20"/>
              </w:rPr>
              <w:t>8.0</w:t>
            </w:r>
          </w:p>
        </w:tc>
        <w:tc>
          <w:tcPr>
            <w:tcW w:type="dxa" w:w="823"/>
          </w:tcPr>
          <w:p>
            <w:r>
              <w:rPr>
                <w:rFonts w:ascii="Times New Roman" w:hAnsi="Times New Roman"/>
                <w:sz w:val="20"/>
              </w:rPr>
              <w:t>1.3</w:t>
            </w:r>
          </w:p>
        </w:tc>
        <w:tc>
          <w:tcPr>
            <w:tcW w:type="dxa" w:w="823"/>
          </w:tcPr>
          <w:p>
            <w:r>
              <w:rPr>
                <w:rFonts w:ascii="Times New Roman" w:hAnsi="Times New Roman"/>
                <w:sz w:val="20"/>
              </w:rPr>
              <w:t>1.0</w:t>
            </w:r>
          </w:p>
        </w:tc>
        <w:tc>
          <w:tcPr>
            <w:tcW w:type="dxa" w:w="823"/>
          </w:tcPr>
          <w:p>
            <w:r>
              <w:rPr>
                <w:rFonts w:ascii="Times New Roman" w:hAnsi="Times New Roman"/>
                <w:sz w:val="20"/>
              </w:rPr>
              <w:t>12.0</w:t>
            </w:r>
          </w:p>
        </w:tc>
        <w:tc>
          <w:tcPr>
            <w:tcW w:type="dxa" w:w="823"/>
          </w:tcPr>
          <w:p>
            <w:r>
              <w:rPr>
                <w:rFonts w:ascii="Times New Roman" w:hAnsi="Times New Roman"/>
                <w:sz w:val="20"/>
              </w:rPr>
              <w:t>6.5</w:t>
            </w:r>
          </w:p>
        </w:tc>
      </w:tr>
      <w:tr>
        <w:tc>
          <w:tcPr>
            <w:tcW w:type="dxa" w:w="823"/>
          </w:tcPr>
          <w:p>
            <w:r>
              <w:rPr>
                <w:rFonts w:ascii="Times New Roman" w:hAnsi="Times New Roman"/>
                <w:sz w:val="20"/>
              </w:rPr>
              <w:t>4 — Fixed structure</w:t>
            </w:r>
          </w:p>
        </w:tc>
        <w:tc>
          <w:tcPr>
            <w:tcW w:type="dxa" w:w="823"/>
          </w:tcPr>
          <w:p>
            <w:r>
              <w:rPr>
                <w:rFonts w:ascii="Times New Roman" w:hAnsi="Times New Roman"/>
                <w:sz w:val="20"/>
              </w:rPr>
              <w:t>Stationary pier</w:t>
            </w:r>
          </w:p>
        </w:tc>
        <w:tc>
          <w:tcPr>
            <w:tcW w:type="dxa" w:w="823"/>
          </w:tcPr>
          <w:p>
            <w:r>
              <w:rPr>
                <w:rFonts w:ascii="Times New Roman" w:hAnsi="Times New Roman"/>
                <w:sz w:val="20"/>
              </w:rPr>
              <w:t>15.0</w:t>
            </w:r>
          </w:p>
        </w:tc>
        <w:tc>
          <w:tcPr>
            <w:tcW w:type="dxa" w:w="823"/>
          </w:tcPr>
          <w:p>
            <w:r>
              <w:rPr>
                <w:rFonts w:ascii="Times New Roman" w:hAnsi="Times New Roman"/>
                <w:sz w:val="20"/>
              </w:rPr>
              <w:t>1.0</w:t>
            </w:r>
          </w:p>
        </w:tc>
        <w:tc>
          <w:tcPr>
            <w:tcW w:type="dxa" w:w="823"/>
          </w:tcPr>
          <w:p>
            <w:r>
              <w:rPr>
                <w:rFonts w:ascii="Times New Roman" w:hAnsi="Times New Roman"/>
                <w:sz w:val="20"/>
              </w:rPr>
              <w:t>0.8</w:t>
            </w:r>
          </w:p>
        </w:tc>
        <w:tc>
          <w:tcPr>
            <w:tcW w:type="dxa" w:w="823"/>
          </w:tcPr>
          <w:p>
            <w:r>
              <w:rPr>
                <w:rFonts w:ascii="Times New Roman" w:hAnsi="Times New Roman"/>
                <w:sz w:val="20"/>
              </w:rPr>
              <w:t>15.2</w:t>
            </w:r>
          </w:p>
        </w:tc>
        <w:tc>
          <w:tcPr>
            <w:tcW w:type="dxa" w:w="823"/>
          </w:tcPr>
          <w:p>
            <w:r>
              <w:rPr>
                <w:rFonts w:ascii="Times New Roman" w:hAnsi="Times New Roman"/>
                <w:sz w:val="20"/>
              </w:rPr>
              <w:t>10.0</w:t>
            </w:r>
          </w:p>
        </w:tc>
      </w:tr>
    </w:tbl>
    <w:p>
      <w:pPr>
        <w:spacing w:after="120"/>
      </w:pPr>
    </w:p>
    <w:p>
      <w:r>
        <w:rPr>
          <w:rFonts w:ascii="Times New Roman" w:hAnsi="Times New Roman"/>
          <w:sz w:val="22"/>
        </w:rPr>
        <w:t>Detection ranges varied from 8.0 m (head-on dynamic obstacle) to 15.0 m (fixed pier), consistent with the system's maximum effective perception range of approximately 15 m on the Suraya Riptide platform. Reaction times — measured from the first successful M-ACF Net detection to the initiation of a GNC avoidance manoeuvre — were consistently within 0.8 to 1.5 seconds across all scenarios. Path deviations ranged from 6.5 m (crossing, Rule 15) to 15.2 m (fixed structure), reflecting the larger standoff required for stationary obstacles where early detection at 15 m allowed a gradual rerouting with a 2.0 m turning radius.</w:t>
      </w:r>
    </w:p>
    <w:p>
      <w:r>
        <w:rPr>
          <w:rFonts w:ascii="Times New Roman" w:hAnsi="Times New Roman"/>
          <w:sz w:val="22"/>
        </w:rPr>
        <w:t xml:space="preserve">Autonomous path-following performance — evaluated independently using cross-track error (CTE) over straight-line and curved waypoint sequences — demonstrated typical CTE values below </w:t>
      </w:r>
      <w:r>
        <w:rPr>
          <w:rFonts w:ascii="Times New Roman" w:hAnsi="Times New Roman"/>
          <w:b/>
          <w:sz w:val="22"/>
        </w:rPr>
        <w:t>0.5 m</w:t>
      </w:r>
      <w:r>
        <w:rPr>
          <w:rFonts w:ascii="Times New Roman" w:hAnsi="Times New Roman"/>
          <w:sz w:val="22"/>
        </w:rPr>
        <w:t xml:space="preserve"> on straight-line segments and generally below </w:t>
      </w:r>
      <w:r>
        <w:rPr>
          <w:rFonts w:ascii="Times New Roman" w:hAnsi="Times New Roman"/>
          <w:b/>
          <w:sz w:val="22"/>
        </w:rPr>
        <w:t>2.0 m</w:t>
      </w:r>
      <w:r>
        <w:rPr>
          <w:rFonts w:ascii="Times New Roman" w:hAnsi="Times New Roman"/>
          <w:sz w:val="22"/>
        </w:rPr>
        <w:t xml:space="preserve"> through waypoint transitions. CTE peaks approaching 2.0 m were observed at sharp heading changes, consistent with the turning radius limitations of the Riptide's propulsion configuration at the trial speed (approximately 0.5–1.0 m/s).</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5.10 ]</w:t>
            </w:r>
          </w:p>
          <w:p>
            <w:pPr>
              <w:jc w:val="center"/>
            </w:pPr>
            <w:r>
              <w:rPr>
                <w:i/>
                <w:color w:val="6E6E6E"/>
                <w:sz w:val="18"/>
              </w:rPr>
              <w:t>Top-down GPS trajectory plots for Scenarios 1–4, showing USV path (solid), planned route (dashed), M-ACF Net obstacle detections (coloured markers), and avoidance manoeuvre trajectories. Source: Authors.</w:t>
            </w:r>
          </w:p>
        </w:tc>
      </w:tr>
    </w:tbl>
    <w:p>
      <w:pPr>
        <w:spacing w:before="60" w:after="240"/>
        <w:jc w:val="center"/>
      </w:pPr>
      <w:r>
        <w:rPr>
          <w:rFonts w:ascii="Times New Roman" w:hAnsi="Times New Roman"/>
          <w:i/>
          <w:sz w:val="20"/>
        </w:rPr>
        <w:t>Figure 5.10. Autonomous navigation trial results: GPS-logged USV trajectories for all four obstacle avoidance scenarios, overlaid with M-ACF Net obstacle detection events and GNC avoidance responses (zero collisions across all runs).</w:t>
      </w:r>
    </w:p>
    <w:p>
      <w:pPr>
        <w:pStyle w:val="Heading2"/>
      </w:pPr>
      <w:r>
        <w:t>5.11  Summary</w:t>
      </w:r>
    </w:p>
    <w:p>
      <w:r>
        <w:rPr>
          <w:rFonts w:ascii="Times New Roman" w:hAnsi="Times New Roman"/>
          <w:sz w:val="22"/>
        </w:rPr>
        <w:t>This chapter has presented M-ACF Net, a mid-level LiDAR–stereo fusion framework for geospatial obstacle awareness in near-shore USV navigation, developed and validated aboard the Suraya Riptide trimaran at IIUM CUTe. The system integrates the Velodyne HDL-32E LiDAR and Stereolabs ZED 2i stereo camera through a dynamic confidence-weighted fusion mechanism, followed by Hybrid PCA–K-Means clustering and full GNC integration, all executed in real-time on the NVIDIA Jetson Orin NX at 18–25 FPS.</w:t>
      </w:r>
    </w:p>
    <w:p>
      <w:r>
        <w:rPr>
          <w:rFonts w:ascii="Times New Roman" w:hAnsi="Times New Roman"/>
          <w:sz w:val="22"/>
        </w:rPr>
        <w:t xml:space="preserve">The principal technical contributions are fourfold. First, the </w:t>
      </w:r>
      <w:r>
        <w:rPr>
          <w:rFonts w:ascii="Times New Roman" w:hAnsi="Times New Roman"/>
          <w:b/>
          <w:sz w:val="22"/>
        </w:rPr>
        <w:t>confidence-weighted mid-level fusion mechanism</w:t>
      </w:r>
      <w:r>
        <w:rPr>
          <w:rFonts w:ascii="Times New Roman" w:hAnsi="Times New Roman"/>
          <w:sz w:val="22"/>
        </w:rPr>
        <w:t xml:space="preserve"> (Equations 5.10–5.14) dynamically adjusts per-modality feature weights based on per-frame LiDAR density and stereo occlusion reliability estimates, reducing depth RMSE by 50% in calm conditions (1.2 → 0.6 m) and outperforming all alternative fusion baselines whilst remaining within the 100 ms real-time processing budget. Second, the </w:t>
      </w:r>
      <w:r>
        <w:rPr>
          <w:rFonts w:ascii="Times New Roman" w:hAnsi="Times New Roman"/>
          <w:b/>
          <w:sz w:val="22"/>
        </w:rPr>
        <w:t>Pseudo-LiDAR generation pipeline</w:t>
      </w:r>
      <w:r>
        <w:rPr>
          <w:rFonts w:ascii="Times New Roman" w:hAnsi="Times New Roman"/>
          <w:sz w:val="22"/>
        </w:rPr>
        <w:t xml:space="preserve"> (Equations 5.3–5.9) converts deep-learning-based stereo disparity maps into geometrically compatible 3D point representations using the ZED 2i's 65 mm baseline and calibrated intrinsics, enabling tight mid-level integration at 9.8 ± 1.3 ms/frame. Third, the </w:t>
      </w:r>
      <w:r>
        <w:rPr>
          <w:rFonts w:ascii="Times New Roman" w:hAnsi="Times New Roman"/>
          <w:b/>
          <w:sz w:val="22"/>
        </w:rPr>
        <w:t>Hybrid PCA–K-Means clustering</w:t>
      </w:r>
      <w:r>
        <w:rPr>
          <w:rFonts w:ascii="Times New Roman" w:hAnsi="Times New Roman"/>
          <w:sz w:val="22"/>
        </w:rPr>
        <w:t xml:space="preserve"> stage achieves the best distance estimation accuracy across all tested algorithms (RMSE 1.6 m, MAE 1.2 m, R² = 0.88) at the lowest computation time (0.05 s/frame), with orientation-aware segmentation that correctly handles elongated maritime obstacles where density-based clustering fails. Fourth, the </w:t>
      </w:r>
      <w:r>
        <w:rPr>
          <w:rFonts w:ascii="Times New Roman" w:hAnsi="Times New Roman"/>
          <w:b/>
          <w:sz w:val="22"/>
        </w:rPr>
        <w:t>3D detection and GNC integration</w:t>
      </w:r>
      <w:r>
        <w:rPr>
          <w:rFonts w:ascii="Times New Roman" w:hAnsi="Times New Roman"/>
          <w:sz w:val="22"/>
        </w:rPr>
        <w:t xml:space="preserve"> — achieving 82.6% AP (Ship Easy), 70.8% (Ship Moderate), and 58.3% (Ship Hard), with zero collisions across four COLREGs encounter scenarios — demonstrates that M-ACF Net provides the perception quality and responsiveness required for fully autonomous USV navigation in complex near-shore environments.</w:t>
      </w:r>
    </w:p>
    <w:p>
      <w:r>
        <w:rPr>
          <w:rFonts w:ascii="Times New Roman" w:hAnsi="Times New Roman"/>
          <w:sz w:val="22"/>
        </w:rPr>
        <w:t>Comparison with the decision-level fusion approach presented in Chapter 4 reveals a fundamental trade-off: mid-level fusion delivers superior ranging accuracy and robustness at the cost of tighter calibration requirements and a more complex feature integration architecture. Chapter 6 examines this trade-off quantitatively across a range of environmental conditions and obstacle scenarios, providing practical guidance for system designers selecting a fusion strategy for near-shore USV applications.</w:t>
      </w:r>
    </w:p>
    <w:p>
      <w:pPr>
        <w:pStyle w:val="Heading2"/>
      </w:pPr>
      <w:r>
        <w:t>References</w:t>
      </w:r>
    </w:p>
    <w:p>
      <w:pPr>
        <w:pStyle w:val="ListBullet"/>
        <w:ind w:left="576" w:hanging="576"/>
      </w:pPr>
      <w:r>
        <w:rPr>
          <w:rFonts w:ascii="Times New Roman" w:hAnsi="Times New Roman"/>
          <w:sz w:val="20"/>
        </w:rPr>
        <w:t>Aiman, M. N., Zulkifli, Z. A., &amp; Mohd Zaki, H. F. (2026). A mid-level LiDAR–stereo fusion framework for USV geospatial awareness. [Doctoral thesis, IIUM].</w:t>
      </w:r>
    </w:p>
    <w:p>
      <w:pPr>
        <w:pStyle w:val="ListBullet"/>
        <w:ind w:left="576" w:hanging="576"/>
      </w:pPr>
      <w:r>
        <w:rPr>
          <w:rFonts w:ascii="Times New Roman" w:hAnsi="Times New Roman"/>
          <w:sz w:val="20"/>
        </w:rPr>
        <w:t>Endsley, M. R. (1995). Toward a theory of situation awareness in dynamic systems. Human Factors, 37(1), 32–64. https://doi.org/10.1518/001872095779049543</w:t>
      </w:r>
    </w:p>
    <w:p>
      <w:pPr>
        <w:pStyle w:val="ListBullet"/>
        <w:ind w:left="576" w:hanging="576"/>
      </w:pPr>
      <w:r>
        <w:rPr>
          <w:rFonts w:ascii="Times New Roman" w:hAnsi="Times New Roman"/>
          <w:sz w:val="20"/>
        </w:rPr>
        <w:t>Li, Y., &amp; Deng, J. (2019). Pseudo-LiDAR from visual depth estimation: Bridging the gap in 3D object detection for autonomous driving. Proceedings of IEEE CVPR, 8445–8453.</w:t>
      </w:r>
    </w:p>
    <w:p>
      <w:pPr>
        <w:pStyle w:val="ListBullet"/>
        <w:ind w:left="576" w:hanging="576"/>
      </w:pPr>
      <w:r>
        <w:rPr>
          <w:rFonts w:ascii="Times New Roman" w:hAnsi="Times New Roman"/>
          <w:sz w:val="20"/>
        </w:rPr>
        <w:t>Redmon, J., &amp; Farhadi, A. (2018). YOLOv3: An incremental improvement. arXiv:1804.02767.</w:t>
      </w:r>
    </w:p>
    <w:p>
      <w:pPr>
        <w:pStyle w:val="ListBullet"/>
        <w:ind w:left="576" w:hanging="576"/>
      </w:pPr>
      <w:r>
        <w:rPr>
          <w:rFonts w:ascii="Times New Roman" w:hAnsi="Times New Roman"/>
          <w:sz w:val="20"/>
        </w:rPr>
        <w:t>Wang, C.-Y., Bochkovskiy, A., &amp; Liao, H.-Y. M. (2023). YOLOv7: Trainable bag-of-freebies sets new state-of-the-art for real-time object detectors. Proceedings of IEEE CVPR, 7464–7475.</w:t>
      </w:r>
    </w:p>
    <w:sectPr w:rsidR="00FC693F" w:rsidRPr="0006063C" w:rsidSect="00034616">
      <w:pgSz w:w="8640" w:h="129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exact"/>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