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USD Rates Trade Hedging – Citi Sales &amp; Trading Simulation</w:t>
      </w:r>
    </w:p>
    <w:p>
      <w:r>
        <w:t>This document summarizes three trade ideas and their associated hedging strategies, as completed during the Citi Bank Markets Sales &amp; Trading Virtual Work Experience. Each trade involves an interest rate product with exposure to macroeconomic and policy-driven risks. The analysis includes risk identification, FOMC/inflation sensitivity, and a clear rationale for the chosen hedge.</w:t>
      </w:r>
    </w:p>
    <w:p>
      <w:pPr>
        <w:pStyle w:val="Heading2"/>
      </w:pPr>
      <w:r>
        <w:t>Trade 1 – BlueFort Paid 10Y USD IRS</w:t>
      </w:r>
    </w:p>
    <w:p>
      <w:r>
        <w:t>Risk: Citi is receiving fixed 10Y. If yields rise, received fixed loses value.</w:t>
      </w:r>
    </w:p>
    <w:p>
      <w:r>
        <w:t>Exposure to Inflation/FOMC: High. Sticky inflation and a hawkish Fed view increase rates risk.</w:t>
      </w:r>
    </w:p>
    <w:p>
      <w:r>
        <w:t>Chosen Hedge: Sell 10Y Treasury Bond Futures</w:t>
      </w:r>
    </w:p>
    <w:p>
      <w:r>
        <w:t>Rationale: This hedge offsets losses from rising yields. As bond prices fall when rates rise, the hedge gains.</w:t>
      </w:r>
    </w:p>
    <w:p>
      <w:r>
        <w:t>Why Not Others:</w:t>
      </w:r>
    </w:p>
    <w:p>
      <w:pPr>
        <w:pStyle w:val="ListBullet"/>
      </w:pPr>
      <w:r>
        <w:t>- Buying 10Y futures increases exposure to rates.</w:t>
      </w:r>
    </w:p>
    <w:p>
      <w:pPr>
        <w:pStyle w:val="ListBullet"/>
      </w:pPr>
      <w:r>
        <w:t>- Paying 5Y IRS mismatches 10Y duration.</w:t>
      </w:r>
    </w:p>
    <w:p>
      <w:pPr>
        <w:pStyle w:val="ListBullet"/>
      </w:pPr>
      <w:r>
        <w:t>- Receiving more 10Y IRS adds risk, not hedges.</w:t>
      </w:r>
    </w:p>
    <w:p>
      <w:pPr>
        <w:pStyle w:val="Heading2"/>
      </w:pPr>
      <w:r>
        <w:t>Trade 2 – Castleton Received 1Y Forward 1Y USD IRS (3m1y)</w:t>
      </w:r>
    </w:p>
    <w:p>
      <w:r>
        <w:t>Risk: Citi is paying 3m1y. If short-term rates fall, the trade loses value.</w:t>
      </w:r>
    </w:p>
    <w:p>
      <w:r>
        <w:t>Exposure to Inflation/FOMC: Medium. View depends on short-term Fed trajectory.</w:t>
      </w:r>
    </w:p>
    <w:p>
      <w:r>
        <w:t>Chosen Hedge: Receive March FOMC Swap</w:t>
      </w:r>
    </w:p>
    <w:p>
      <w:r>
        <w:t>Rationale: Directly hedges the most impactful event window — the March Fed meeting.</w:t>
      </w:r>
    </w:p>
    <w:p>
      <w:r>
        <w:t>Why Not Others:</w:t>
      </w:r>
    </w:p>
    <w:p>
      <w:pPr>
        <w:pStyle w:val="ListBullet"/>
      </w:pPr>
      <w:r>
        <w:t>- Receive 2Y IRS mismatches the forward structure and timing.</w:t>
      </w:r>
    </w:p>
    <w:p>
      <w:pPr>
        <w:pStyle w:val="ListBullet"/>
      </w:pPr>
      <w:r>
        <w:t>- 1s2s curve trades introduce shape risk, unnecessary here.</w:t>
      </w:r>
    </w:p>
    <w:p>
      <w:pPr>
        <w:pStyle w:val="Heading2"/>
      </w:pPr>
      <w:r>
        <w:t>Trade 3 – USD Rates Options Desk Received March 2022 FOMC Swap</w:t>
      </w:r>
    </w:p>
    <w:p>
      <w:r>
        <w:t>Risk: Citi is paying March FOMC. If the Fed hikes more than expected by March, the trade loses.</w:t>
      </w:r>
    </w:p>
    <w:p>
      <w:r>
        <w:t>Exposure to Inflation/FOMC: Very high. Trade is a direct play on March Fed decision.</w:t>
      </w:r>
    </w:p>
    <w:p>
      <w:r>
        <w:t>Chosen Hedge: Receive May 2022 FOMC Swap</w:t>
      </w:r>
    </w:p>
    <w:p>
      <w:r>
        <w:t>Rationale: Correlated but not identical Fed window. Hedge protects but preserves core view.</w:t>
      </w:r>
    </w:p>
    <w:p>
      <w:r>
        <w:t>Why Not Others:</w:t>
      </w:r>
    </w:p>
    <w:p>
      <w:pPr>
        <w:pStyle w:val="ListBullet"/>
      </w:pPr>
      <w:r>
        <w:t>- Receiving March FOMC neutralizes the trade completely.</w:t>
      </w:r>
    </w:p>
    <w:p>
      <w:pPr>
        <w:pStyle w:val="ListBullet"/>
      </w:pPr>
      <w:r>
        <w:t>- Receiving Dec 2021 FOMC is too early and mostly priced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