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Trade Idea: Pay Fixed on 10-Year USD Interest Rate Swap</w:t>
      </w:r>
    </w:p>
    <w:p>
      <w:r>
        <w:t>Following this week's FOMC meeting, we maintain a cautious view that rates will remain higher for longer, driven by persistent inflationary pressures and resilient U.S. growth. Although the Fed chose to hold the policy rate steady, the updated dot plot signaled one additional hike by year-end and a longer-run median rate that remains elevated relative to prior cycles. Inflation, as reflected in the 5-year breakeven and recent CPI data, remains sticky. Against this backdrop, we see upward pressure on medium- to long-end rates continuing over the coming months.</w:t>
      </w:r>
    </w:p>
    <w:p>
      <w:r>
        <w:t>We recommend paying fixed on the 10-year USD Interest Rate Swap (IRS) as a tactical expression of this view. Should market expectations for sustained high policy rates strengthen further, 10-year swap rates are likely to rise, increasing the mark-to-market value of a paid fixed position. Furthermore, term premium dynamics support this trade: as the Fed maintains higher policy rates amid persistent inflation, investors may demand greater compensation for duration risk, leading to steeper yield curves and higher swap rates at longer maturities. The 10-year sector offers an attractive balance between sensitivity to changes in medium-term rate expectations and manageable carry and roll dynamics.</w:t>
      </w:r>
    </w:p>
    <w:p>
      <w:r>
        <w:t>We see risks to this view primarily from a sharp deterioration in economic data or unexpected dovish shifts from the Fed, but recent data releases suggest such risks are low in the near term. Entry levels are attractive relative to historical ranges, and client flows have recently tilted towards receiving fixed at the front-end while paying duration, supporting this positioning. For clients comfortable with tactical expressions of a higher-for-longer rates view, we believe paying fixed in the 10-year USD IRS offers an asymmetric risk-reward profile.</w:t>
      </w:r>
    </w:p>
    <w:p>
      <w:pPr>
        <w:pStyle w:val="Heading2"/>
      </w:pPr>
      <w:r>
        <w:t>Summary of Key Market Levels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Level</w:t>
            </w:r>
          </w:p>
        </w:tc>
      </w:tr>
      <w:tr>
        <w:tc>
          <w:tcPr>
            <w:tcW w:type="dxa" w:w="4320"/>
          </w:tcPr>
          <w:p>
            <w:r>
              <w:t>10Y Treasury Yield</w:t>
            </w:r>
          </w:p>
        </w:tc>
        <w:tc>
          <w:tcPr>
            <w:tcW w:type="dxa" w:w="4320"/>
          </w:tcPr>
          <w:p>
            <w:r>
              <w:t>1.46%</w:t>
            </w:r>
          </w:p>
        </w:tc>
      </w:tr>
      <w:tr>
        <w:tc>
          <w:tcPr>
            <w:tcW w:type="dxa" w:w="4320"/>
          </w:tcPr>
          <w:p>
            <w:r>
              <w:t>5Y Breakeven Inflation</w:t>
            </w:r>
          </w:p>
        </w:tc>
        <w:tc>
          <w:tcPr>
            <w:tcW w:type="dxa" w:w="4320"/>
          </w:tcPr>
          <w:p>
            <w:r>
              <w:t>2.48%</w:t>
            </w:r>
          </w:p>
        </w:tc>
      </w:tr>
      <w:tr>
        <w:tc>
          <w:tcPr>
            <w:tcW w:type="dxa" w:w="4320"/>
          </w:tcPr>
          <w:p>
            <w:r>
              <w:t>FOMC December 2022 Pricing</w:t>
            </w:r>
          </w:p>
        </w:tc>
        <w:tc>
          <w:tcPr>
            <w:tcW w:type="dxa" w:w="4320"/>
          </w:tcPr>
          <w:p>
            <w:r>
              <w:t>~25bps hike expected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