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Desk Morning Summary</w:t>
      </w:r>
    </w:p>
    <w:p>
      <w:r>
        <w:t>Overnight, USD rates remained relatively stable ahead of today’s highly anticipated FOMC meeting. 10-year Treasury yields edged slightly higher during the Asia and European sessions, continuing the broader trend of upward pressure seen over the past month. Moves in other currencies such as AUD and EUR were relatively muted overnight, as markets remain squarely focused on developments in the U.S. rates space.</w:t>
      </w:r>
    </w:p>
    <w:p>
      <w:r>
        <w:t>Recent economic data continues to paint a mixed but slightly cooling picture. Inflation, while down from the peaks seen in 2022, remains above the Fed’s long-term target, with recent CPI prints holding around 3–4%. Treasury yields have gradually increased over recent weeks, reflecting both resilient economic growth and expectations that rates may stay higher for longer. At the previous FOMC meeting, the Fed opted to hold rates steady but signaled a strong willingness to keep tightening policy if needed, emphasizing a data-dependent approach.</w:t>
      </w:r>
    </w:p>
    <w:p>
      <w:r>
        <w:t>Heading into today’s FOMC announcement, market consensus is largely expecting the Fed to keep rates unchanged, while keeping the door open for potential future hikes. Investors will be closely analyzing the Fed’s statement language and updated economic projections for clues on the “higher for longer” narrative. As always, Powell’s tone during the press conference will also be critical in shaping market reaction.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