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Market Recap – USD Rates</w:t>
      </w:r>
    </w:p>
    <w:p>
      <w:r>
        <w:t>The U.S. rates market experienced notable volatility this week, with the 10-year Treasury yield rising sharply from around 1.30% to 1.46% by Friday's close. This move was driven by stronger-than-expected economic data and the market’s positioning ahead of the FOMC meeting. Inflation expectations, as reflected by the 5-year breakeven rate, moved marginally higher to around 2.48%, reinforcing the theme of persistent inflation pressures. Flows in other currencies such as AUD and EUR were relatively muted compared to the clear directionality in USD rates. The focus remains squarely on the U.S., with traders positioning for a higher-for-longer rates environment.</w:t>
      </w:r>
    </w:p>
    <w:p>
      <w:r>
        <w:t>The FOMC meeting was the key event of the week. As widely anticipated, the Fed left its policy rate unchanged. However, the accompanying statement and updated dot plot conveyed a more hawkish tone than markets had priced in. Notably, the median dot now projects one additional rate hike by year-end, and the longer-term policy rate was revised slightly higher. Markets reacted with a sharp bear flattening of the curve post-meeting, with short-end rates rising as investors digested the likelihood of rates remaining elevated for an extended period. The Fed’s messaging around inflation — emphasizing its persistence and the need for continued vigilance — aligned with recent economic releases showing sticky core inflation pressures.</w:t>
      </w:r>
    </w:p>
    <w:p>
      <w:r>
        <w:t>In terms of flows, fast money accounts were active in paying fixed in short-dated IRS and FOMC meeting swaps, positioning for further hawkish repricing. Real money accounts showed more buying interest in longer-dated Treasuries, adding to duration at higher yield levels. Looking ahead, we maintain a cautious bias toward further steepening of the yield curve, driven by resilient growth and sticky inflation. We recommend considering receiving fixed in 5-year interest rate swaps as a tactical expression of this view, while maintaining a defensive stance through owning 10-year Treasuries to benefit from any risk-off moves. Overall, we view the Fed’s messaging as appropriate given inflation risks, but think the market may be underestimating the potential for growth resilience to drive further upward pressure on yields.</w:t>
      </w:r>
    </w:p>
    <w:p>
      <w:pPr>
        <w:pStyle w:val="Heading2"/>
      </w:pPr>
      <w:r>
        <w:t>Summary of Key Market Moves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10-Year Treasury Yield (Week End)</w:t>
            </w:r>
          </w:p>
        </w:tc>
        <w:tc>
          <w:tcPr>
            <w:tcW w:type="dxa" w:w="4320"/>
          </w:tcPr>
          <w:p>
            <w:r>
              <w:t>1.46%</w:t>
            </w:r>
          </w:p>
        </w:tc>
      </w:tr>
      <w:tr>
        <w:tc>
          <w:tcPr>
            <w:tcW w:type="dxa" w:w="4320"/>
          </w:tcPr>
          <w:p>
            <w:r>
              <w:t>5-Year Breakeven Inflation</w:t>
            </w:r>
          </w:p>
        </w:tc>
        <w:tc>
          <w:tcPr>
            <w:tcW w:type="dxa" w:w="4320"/>
          </w:tcPr>
          <w:p>
            <w:r>
              <w:t>2.48%</w:t>
            </w:r>
          </w:p>
        </w:tc>
      </w:tr>
      <w:tr>
        <w:tc>
          <w:tcPr>
            <w:tcW w:type="dxa" w:w="4320"/>
          </w:tcPr>
          <w:p>
            <w:r>
              <w:t>FOMC Pricing (Hikes Expected by Dec 2022)</w:t>
            </w:r>
          </w:p>
        </w:tc>
        <w:tc>
          <w:tcPr>
            <w:tcW w:type="dxa" w:w="4320"/>
          </w:tcPr>
          <w:p>
            <w:r>
              <w:t>1-2 hikes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