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2026-05-15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.gitignore configured for mobile artifacts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 Utilities (src/utils/currency.ts)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formatCurrency(amount) — PKR formatting with M/B abbreviations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formatDate / formatShortDate helpers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Journal Entry, Purchase Order, Sales Order, GRN, Trial Balance, Inventory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 Navigation (src/navigation/)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— native stack with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— bottom tabs: Dashboard, Inventory, Finance, More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 — switches between Auth/App based on AuthContext state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Internal tab view: Stock Balances and Stock 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both tabs (item name, warehouse)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 (Customer=green, Vendor=blue)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Contact info: email, phone, company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Inventory, Accounts Payable, Accounts Receivable screens use companyId from 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JournalEntries,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(stack): MoreMenu → Materials, PurchaseOrders, PurchaseOrderDetail, SalesOrders, SalesOrderDetail, GRN, Partners, Companies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mobile/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App.tsx — Entry point: SafeAreaProvider → AuthProvider → RootNavigator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 — Expo configuration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package.json — Dependencies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tsconfig.json — TypeScript config with @/ alias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babel.config.js — Babel with module-resolver plugin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PROGRESS.md — Build progress tracker (updated each session)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FEATURES.docx — This document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src/api/ — API client and service modules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 and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 (currency, dates)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2026-05-15T10:33:36.065Z</dcterms:created>
  <dcterms:modified xsi:type="dcterms:W3CDTF">2026-05-15T10:33:36.065Z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