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2026-05-15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.gitignore configured for mobile artifacts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 Utilities (src/utils/currency.ts)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formatCurrency(amount) — PKR formatting with M/B abbreviations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formatDate / formatShortDate helpers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Journal Entry, Purchase Order, Sales Order, GRN, Trial Balance, Inventory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 Navigation (src/navigation/)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— native stack with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— bottom tabs: Dashboard, Inventory, Finance, More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RootNavigator — switches between Auth/App based on AuthContext state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Internal tab view: Stock Balances and Stock 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both tabs (item name, warehouse)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 (Customer=green, Vendor=blue)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Contact info: email, phone, company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Navigation Architecture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JournalEntries, TrialBalance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(stack): MoreMenu → Materials, PurchaseOrders, PurchaseOrderDetail, SalesOrders, SalesOrderDetail, GRN, Partners, Companies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Planned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Planned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Partial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mobile/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App.tsx — Entry point: SafeAreaProvider → AuthProvider → RootNavigator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app.json — Expo configuration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package.json — Dependencies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tsconfig.json — TypeScript config with @/ alias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babel.config.js — Babel with module-resolver plugin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PROGRESS.md — Build progress tracker (updated each session)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FEATURES.docx — This document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src/api/ — API client and service modules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 and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 (currency, dates)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2026-05-15T10:27:36.951Z</dcterms:created>
  <dcterms:modified xsi:type="dcterms:W3CDTF">2026-05-15T10:27:36.951Z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