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53D9B" w14:textId="77777777" w:rsidR="00923836" w:rsidRDefault="00923836" w:rsidP="00923836"/>
    <w:p w14:paraId="4F594876" w14:textId="77777777" w:rsidR="00923836" w:rsidRDefault="00923836" w:rsidP="009238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F3DB8F3" w14:textId="77777777" w:rsidR="00923836" w:rsidRDefault="00923836" w:rsidP="0092383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__Haseeb,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6DED1333" w14:textId="77777777" w:rsidR="00923836" w:rsidRDefault="00923836" w:rsidP="00923836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923836" w14:paraId="017AA22D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B066BF6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688D85" w14:textId="74C47EAF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 Table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609CFED" w14:textId="77777777" w:rsidR="00923836" w:rsidRDefault="00923836">
            <w:pPr>
              <w:spacing w:line="256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923836" w14:paraId="2B2AA4A6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58AC4980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8C9355" w14:textId="6E4A7904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FFD1564" w14:textId="77777777" w:rsidR="00923836" w:rsidRDefault="00923836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23836" w14:paraId="34C92F31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DFB4FF2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36B002" w14:textId="7777777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60B264D" w14:textId="77777777" w:rsidR="00923836" w:rsidRDefault="00923836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923836" w14:paraId="6806BD90" w14:textId="77777777" w:rsidTr="00923836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5242EC3" w14:textId="7777777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2BF03" w14:textId="77777777" w:rsidR="00923836" w:rsidRDefault="00923836">
            <w:pPr>
              <w:tabs>
                <w:tab w:val="left" w:pos="954"/>
                <w:tab w:val="left" w:pos="2412"/>
              </w:tabs>
              <w:spacing w:line="256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23836" w14:paraId="07720A0C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5A337AB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9B8CB6" w14:textId="68969551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Cleaner</w:t>
            </w:r>
          </w:p>
        </w:tc>
      </w:tr>
      <w:tr w:rsidR="00923836" w14:paraId="0831D037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000BE16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89453C" w14:textId="51EECA02" w:rsidR="00923836" w:rsidRDefault="00607559" w:rsidP="00607559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First customer on the waitlist</w:t>
            </w:r>
            <w:r>
              <w:rPr>
                <w:rFonts w:ascii="Arial" w:hAnsi="Arial" w:cs="Arial"/>
                <w:sz w:val="20"/>
              </w:rPr>
              <w:t xml:space="preserve">– interested in activity because they </w:t>
            </w:r>
            <w:r>
              <w:rPr>
                <w:rFonts w:ascii="Arial" w:hAnsi="Arial" w:cs="Arial"/>
                <w:sz w:val="20"/>
              </w:rPr>
              <w:t>will be assigned the table after it’s cleaned</w:t>
            </w:r>
          </w:p>
        </w:tc>
      </w:tr>
      <w:tr w:rsidR="00923836" w14:paraId="2C10FCC2" w14:textId="77777777" w:rsidTr="002C7F51">
        <w:trPr>
          <w:trHeight w:val="277"/>
        </w:trPr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A0D710B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B6B37F" w14:textId="246EEA10" w:rsidR="00923836" w:rsidRDefault="00923836" w:rsidP="002C7F51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cleaner updates the system of the cleaning of a particular table</w:t>
            </w:r>
            <w:r w:rsidR="002C7F51">
              <w:rPr>
                <w:rFonts w:ascii="Arial" w:hAnsi="Arial" w:cs="Arial"/>
              </w:rPr>
              <w:t>.</w:t>
            </w:r>
          </w:p>
        </w:tc>
      </w:tr>
      <w:tr w:rsidR="00923836" w14:paraId="7B8C37E7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2BD6E6D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421E2B" w14:textId="583FF1E4" w:rsidR="00923836" w:rsidRDefault="002C7F51" w:rsidP="002C7F51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customer has occupied a given table.</w:t>
            </w:r>
          </w:p>
        </w:tc>
      </w:tr>
      <w:tr w:rsidR="00923836" w14:paraId="2E735458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D49826B" w14:textId="77777777" w:rsidR="00923836" w:rsidRDefault="00923836">
            <w:pPr>
              <w:spacing w:line="256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1D131F" w14:textId="440B1DC2" w:rsidR="00923836" w:rsidRDefault="002C7F51" w:rsidP="002C7F51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checks out.</w:t>
            </w:r>
          </w:p>
        </w:tc>
      </w:tr>
      <w:tr w:rsidR="00923836" w14:paraId="17F7BD7A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197783C5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06E134" w14:textId="77777777" w:rsidR="00923836" w:rsidRDefault="00923836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FA4A0E" w14:textId="77777777" w:rsidR="00923836" w:rsidRDefault="00923836">
            <w:pPr>
              <w:spacing w:line="256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23836" w14:paraId="6F3852D9" w14:textId="77777777" w:rsidTr="00923836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62CA240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49593C2E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667CC2" w14:textId="3BF46601" w:rsidR="00923836" w:rsidRDefault="00923836" w:rsidP="002C7F51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2C7F51">
              <w:rPr>
                <w:rFonts w:ascii="Arial" w:hAnsi="Arial" w:cs="Arial"/>
                <w:sz w:val="20"/>
              </w:rPr>
              <w:t>Cleaner cleans the table and marks it on the tablet on the table.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CD2CB1" w14:textId="5440A0FD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2C7F51">
              <w:rPr>
                <w:rFonts w:ascii="Arial" w:hAnsi="Arial" w:cs="Arial"/>
                <w:sz w:val="20"/>
              </w:rPr>
              <w:t>System marks table as cleaned and adds it to list of available</w:t>
            </w:r>
            <w:r w:rsidR="005F3ED8">
              <w:rPr>
                <w:rFonts w:ascii="Arial" w:hAnsi="Arial" w:cs="Arial"/>
                <w:sz w:val="20"/>
              </w:rPr>
              <w:t xml:space="preserve"> tables in the system. If someone is on the waiting list, the system sends them an availability notification (separate use case).</w:t>
            </w:r>
          </w:p>
        </w:tc>
      </w:tr>
      <w:tr w:rsidR="00923836" w14:paraId="6E68B8D9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DD36B0B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2BE40B7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C57D66" w14:textId="5156D3B9" w:rsidR="00923836" w:rsidRPr="00607559" w:rsidRDefault="00607559" w:rsidP="00607559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bookmarkStart w:id="0" w:name="_GoBack"/>
            <w:bookmarkEnd w:id="0"/>
            <w:r w:rsidR="00923836" w:rsidRPr="00607559">
              <w:rPr>
                <w:rFonts w:ascii="Arial" w:hAnsi="Arial" w:cs="Arial"/>
                <w:sz w:val="20"/>
              </w:rPr>
              <w:t>The tablet malfunctions and then a manual approach is undertaken. This is fixed at the earliest convenience by maintenance to not cause delays.</w:t>
            </w:r>
          </w:p>
        </w:tc>
      </w:tr>
      <w:tr w:rsidR="00923836" w14:paraId="5AC7B0DB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35A32726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F21B272" w14:textId="135F90BF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 is cleaned.</w:t>
            </w:r>
          </w:p>
        </w:tc>
      </w:tr>
      <w:tr w:rsidR="00923836" w14:paraId="7747B1BD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39D89B8C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D42978" w14:textId="7342E307" w:rsidR="00923836" w:rsidRDefault="00923836">
            <w:pPr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 is now clean and registered in the system as available for use.</w:t>
            </w:r>
          </w:p>
        </w:tc>
      </w:tr>
      <w:tr w:rsidR="00923836" w14:paraId="1328FFFE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47A9500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2E5DC" w14:textId="40603CD9" w:rsidR="00923836" w:rsidRDefault="005F3ED8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Only the cleaner can mark the table as cleaned</w:t>
            </w:r>
          </w:p>
        </w:tc>
      </w:tr>
      <w:tr w:rsidR="00923836" w14:paraId="6661F792" w14:textId="77777777" w:rsidTr="00923836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18CE43E" w14:textId="77777777" w:rsidR="00923836" w:rsidRDefault="00923836">
            <w:pPr>
              <w:spacing w:line="25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1D0BFF" w14:textId="77777777" w:rsidR="00923836" w:rsidRDefault="00923836">
            <w:pPr>
              <w:tabs>
                <w:tab w:val="num" w:pos="612"/>
              </w:tabs>
              <w:spacing w:line="25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</w:tbl>
    <w:p w14:paraId="0470A898" w14:textId="77777777" w:rsidR="00923836" w:rsidRDefault="00923836" w:rsidP="00923836">
      <w:pPr>
        <w:rPr>
          <w:rFonts w:ascii="Arial" w:hAnsi="Arial" w:cs="Arial"/>
          <w:sz w:val="20"/>
        </w:rPr>
      </w:pPr>
    </w:p>
    <w:p w14:paraId="710081CB" w14:textId="77777777" w:rsidR="00923836" w:rsidRDefault="00923836" w:rsidP="00923836"/>
    <w:p w14:paraId="3B8039E3" w14:textId="77777777" w:rsidR="00923836" w:rsidRDefault="00923836"/>
    <w:sectPr w:rsidR="0092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36"/>
    <w:rsid w:val="002C7F51"/>
    <w:rsid w:val="005F3ED8"/>
    <w:rsid w:val="00607559"/>
    <w:rsid w:val="009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56E2"/>
  <w15:chartTrackingRefBased/>
  <w15:docId w15:val="{293F21A2-2C42-4BF8-8B15-0AAC4554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3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3836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23836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923836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3836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Ali Shazal</cp:lastModifiedBy>
  <cp:revision>3</cp:revision>
  <dcterms:created xsi:type="dcterms:W3CDTF">2019-12-12T06:50:00Z</dcterms:created>
  <dcterms:modified xsi:type="dcterms:W3CDTF">2019-12-12T14:26:00Z</dcterms:modified>
</cp:coreProperties>
</file>