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Title </w:t>
      </w:r>
      <w:r w:rsidDel="00000000" w:rsidR="00000000" w:rsidRPr="00000000">
        <w:rPr>
          <w:rtl w:val="0"/>
        </w:rPr>
        <w:t xml:space="preserve">(minimum 200 chars, including spaces):</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Aroma Electric Burner/Warmer Touch On/Off Clear Crystal Cylinder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Clear crystal cylinder design with clear top plate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Removable top plate for easy melt change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Electric powered with touch on/off base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For use with paraffin melts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Electric Burner/Warmer Auto Touch On/Off Clear Crystal Cylinder Shape Aroma Accessories This stunning warmer creates a soothing atmosphere by heating paraffin melts releasing your favourite scent in to the room Square clear glass crystal cylinder shape with clear top plate When in use the burner light shines through the crystal glass and has a warm glow The warmer provides a safe, clean and efficient way to melt your scented paraffin melts Just place a scented paraffin melt in the bowl, turn on the warmer and relax as the room is filled with your favourite fragrance Top plate can be lifted off to replace the paraffin melt easily Auto touch On/Off function which has 3 light settings Approx 140cm cable and fitted with standard UK 3 pin plug Halogen 40 watt bulb (spare included) Measures approximately 12cm diameter x 16cm high Other designs available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