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01A412">
      <w:pPr>
        <w:spacing w:before="0" w:after="240" w:line="324" w:lineRule="auto"/>
      </w:pPr>
    </w:p>
    <w:p w14:paraId="4951C8D2">
      <w:pPr>
        <w:spacing w:before="0" w:after="240" w:line="324" w:lineRule="auto"/>
      </w:pPr>
    </w:p>
    <w:p w14:paraId="5368D31D">
      <w:pPr>
        <w:spacing w:before="0" w:after="240" w:line="324" w:lineRule="auto"/>
      </w:pPr>
    </w:p>
    <w:p w14:paraId="7EEF8871">
      <w:pPr>
        <w:spacing w:before="0" w:after="240" w:line="324" w:lineRule="auto"/>
      </w:pPr>
    </w:p>
    <w:p w14:paraId="39B4983A">
      <w:pPr>
        <w:spacing w:before="0" w:after="240" w:line="324" w:lineRule="auto"/>
      </w:pPr>
    </w:p>
    <w:p w14:paraId="1810EA03">
      <w:pPr>
        <w:spacing w:before="0" w:after="160" w:line="324" w:lineRule="auto"/>
        <w:jc w:val="center"/>
      </w:pPr>
      <w:r>
        <w:rPr>
          <w:rFonts w:ascii="微软雅黑" w:hAnsi="微软雅黑" w:eastAsia="微软雅黑"/>
          <w:b/>
          <w:color w:val="003399"/>
          <w:sz w:val="60"/>
        </w:rPr>
        <w:t>AI球化检测系统</w:t>
      </w:r>
      <w:r>
        <w:rPr>
          <w:rFonts w:hint="eastAsia"/>
          <w:b/>
          <w:color w:val="003399"/>
          <w:sz w:val="60"/>
          <w:lang w:val="en-US" w:eastAsia="zh-CN"/>
        </w:rPr>
        <w:t>_V0</w:t>
      </w:r>
    </w:p>
    <w:p w14:paraId="0F83A260">
      <w:pPr>
        <w:spacing w:before="0" w:after="360" w:line="324" w:lineRule="auto"/>
        <w:jc w:val="center"/>
      </w:pPr>
      <w:r>
        <w:rPr>
          <w:rFonts w:ascii="微软雅黑" w:hAnsi="微软雅黑" w:eastAsia="微软雅黑"/>
          <w:b/>
          <w:color w:val="1A2A3A"/>
          <w:sz w:val="40"/>
        </w:rPr>
        <w:t>用 户 培 训 手 册</w:t>
      </w:r>
    </w:p>
    <w:p w14:paraId="25324344">
      <w:pPr>
        <w:spacing w:before="0" w:after="1200" w:line="324" w:lineRule="auto"/>
        <w:jc w:val="center"/>
      </w:pPr>
      <w:r>
        <w:rPr>
          <w:rFonts w:ascii="微软雅黑" w:hAnsi="微软雅黑" w:eastAsia="微软雅黑"/>
          <w:b w:val="0"/>
          <w:color w:val="777777"/>
          <w:sz w:val="24"/>
        </w:rPr>
        <w:t>浇注工位 AI 智能化 · 球化检测记录管理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5669"/>
      </w:tblGrid>
      <w:tr w14:paraId="0DFC0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E6F2FF"/>
          </w:tcPr>
          <w:p w14:paraId="5D166CB4">
            <w:pPr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文档版本</w:t>
            </w:r>
          </w:p>
        </w:tc>
        <w:tc>
          <w:tcPr>
            <w:tcW w:w="5669" w:type="dxa"/>
          </w:tcPr>
          <w:p w14:paraId="2BBC47E1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V</w:t>
            </w:r>
            <w:r>
              <w:rPr>
                <w:rFonts w:hint="eastAsia"/>
                <w:b w:val="0"/>
                <w:sz w:val="21"/>
                <w:lang w:val="en-US" w:eastAsia="zh-CN"/>
              </w:rPr>
              <w:t>1</w:t>
            </w:r>
            <w:r>
              <w:rPr>
                <w:rFonts w:ascii="微软雅黑" w:hAnsi="微软雅黑" w:eastAsia="微软雅黑"/>
                <w:b w:val="0"/>
                <w:sz w:val="21"/>
              </w:rPr>
              <w:t>.0</w:t>
            </w:r>
          </w:p>
        </w:tc>
      </w:tr>
      <w:tr w14:paraId="767B9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E6F2FF"/>
          </w:tcPr>
          <w:p w14:paraId="4BA24BAF">
            <w:pPr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适用对象</w:t>
            </w:r>
          </w:p>
        </w:tc>
        <w:tc>
          <w:tcPr>
            <w:tcW w:w="5669" w:type="dxa"/>
          </w:tcPr>
          <w:p w14:paraId="44507D58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浇注工位操作人员、工艺/质量技术人员、班组长、项目存档</w:t>
            </w:r>
          </w:p>
        </w:tc>
      </w:tr>
      <w:tr w14:paraId="19381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E6F2FF"/>
          </w:tcPr>
          <w:p w14:paraId="1321740C">
            <w:pPr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配套文档</w:t>
            </w:r>
          </w:p>
        </w:tc>
        <w:tc>
          <w:tcPr>
            <w:tcW w:w="5669" w:type="dxa"/>
          </w:tcPr>
          <w:p w14:paraId="44B881BB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《AI球化检测系统用户培训手册（精简版）》——供一线操作工日常操作快速查阅</w:t>
            </w:r>
          </w:p>
        </w:tc>
      </w:tr>
      <w:tr w14:paraId="512CC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E6F2FF"/>
          </w:tcPr>
          <w:p w14:paraId="2D9CDD64">
            <w:pPr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编制依据</w:t>
            </w:r>
          </w:p>
        </w:tc>
        <w:tc>
          <w:tcPr>
            <w:tcW w:w="5669" w:type="dxa"/>
          </w:tcPr>
          <w:p w14:paraId="3D7044E4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系统当前前端版本（2026 年 10 月）</w:t>
            </w:r>
          </w:p>
        </w:tc>
      </w:tr>
      <w:tr w14:paraId="5B816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E6F2FF"/>
          </w:tcPr>
          <w:p w14:paraId="1AB2E18A">
            <w:pPr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截图说明</w:t>
            </w:r>
          </w:p>
        </w:tc>
        <w:tc>
          <w:tcPr>
            <w:tcW w:w="5669" w:type="dxa"/>
          </w:tcPr>
          <w:p w14:paraId="0327CACE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 xml:space="preserve">截图均为系统实际运行画面（2026 年 10 月 </w:t>
            </w:r>
            <w:r>
              <w:rPr>
                <w:rFonts w:hint="eastAsia"/>
                <w:b w:val="0"/>
                <w:sz w:val="21"/>
                <w:lang w:val="en-US" w:eastAsia="zh-CN"/>
              </w:rPr>
              <w:t>10</w:t>
            </w:r>
            <w:r>
              <w:rPr>
                <w:rFonts w:ascii="微软雅黑" w:hAnsi="微软雅黑" w:eastAsia="微软雅黑"/>
                <w:b w:val="0"/>
                <w:sz w:val="21"/>
              </w:rPr>
              <w:t xml:space="preserve"> 日截取）</w:t>
            </w:r>
          </w:p>
        </w:tc>
      </w:tr>
    </w:tbl>
    <w:p w14:paraId="0A4E8627">
      <w:pPr>
        <w:spacing w:before="0" w:after="320" w:line="324" w:lineRule="auto"/>
      </w:pPr>
    </w:p>
    <w:p w14:paraId="11D91336">
      <w:pPr>
        <w:spacing w:before="0" w:after="120" w:line="324" w:lineRule="auto"/>
        <w:jc w:val="center"/>
      </w:pPr>
      <w:r>
        <w:rPr>
          <w:rFonts w:ascii="微软雅黑" w:hAnsi="微软雅黑" w:eastAsia="微软雅黑"/>
          <w:b w:val="0"/>
          <w:color w:val="777777"/>
          <w:sz w:val="22"/>
        </w:rPr>
        <w:t>东贝生产线 · 系统架构项目组</w:t>
      </w:r>
    </w:p>
    <w:p w14:paraId="6A43155E">
      <w:r>
        <w:br w:type="page"/>
      </w:r>
    </w:p>
    <w:p w14:paraId="5F5E0ED7">
      <w:pPr>
        <w:pStyle w:val="3"/>
        <w:spacing w:before="320" w:after="160"/>
      </w:pPr>
      <w:r>
        <w:rPr>
          <w:rFonts w:ascii="微软雅黑" w:hAnsi="微软雅黑" w:eastAsia="微软雅黑"/>
          <w:b/>
          <w:color w:val="003399"/>
          <w:sz w:val="32"/>
        </w:rPr>
        <w:t>目录</w:t>
      </w:r>
    </w:p>
    <w:p w14:paraId="794D76DA">
      <w:pPr>
        <w:spacing w:before="0" w:after="160" w:line="324" w:lineRule="auto"/>
      </w:pPr>
      <w:r>
        <w:rPr>
          <w:rFonts w:ascii="微软雅黑" w:hAnsi="微软雅黑" w:eastAsia="微软雅黑"/>
          <w:b w:val="0"/>
          <w:sz w:val="22"/>
        </w:rPr>
        <w:t>1　系统简介</w:t>
      </w:r>
    </w:p>
    <w:p w14:paraId="04A36A5B">
      <w:pPr>
        <w:spacing w:before="0" w:after="160" w:line="324" w:lineRule="auto"/>
      </w:pPr>
      <w:r>
        <w:rPr>
          <w:rFonts w:ascii="微软雅黑" w:hAnsi="微软雅黑" w:eastAsia="微软雅黑"/>
          <w:b w:val="0"/>
          <w:sz w:val="22"/>
        </w:rPr>
        <w:t>2　认识系统界面</w:t>
      </w:r>
    </w:p>
    <w:p w14:paraId="0DC3A541">
      <w:pPr>
        <w:spacing w:before="0" w:after="160" w:line="324" w:lineRule="auto"/>
      </w:pPr>
      <w:r>
        <w:rPr>
          <w:rFonts w:ascii="微软雅黑" w:hAnsi="微软雅黑" w:eastAsia="微软雅黑"/>
          <w:b w:val="0"/>
          <w:sz w:val="22"/>
        </w:rPr>
        <w:t>3　浇注工位监控（系统首页）</w:t>
      </w:r>
    </w:p>
    <w:p w14:paraId="78B13E06">
      <w:pPr>
        <w:spacing w:before="0" w:after="160" w:line="324" w:lineRule="auto"/>
      </w:pPr>
      <w:r>
        <w:rPr>
          <w:rFonts w:ascii="微软雅黑" w:hAnsi="微软雅黑" w:eastAsia="微软雅黑"/>
          <w:b w:val="0"/>
          <w:sz w:val="22"/>
        </w:rPr>
        <w:t>4　首页：统计概览</w:t>
      </w:r>
    </w:p>
    <w:p w14:paraId="4BD2F3F0">
      <w:pPr>
        <w:spacing w:before="0" w:after="160" w:line="324" w:lineRule="auto"/>
      </w:pPr>
      <w:r>
        <w:rPr>
          <w:rFonts w:ascii="微软雅黑" w:hAnsi="微软雅黑" w:eastAsia="微软雅黑"/>
          <w:b w:val="0"/>
          <w:sz w:val="22"/>
        </w:rPr>
        <w:t>5　球化记录：查询与管理</w:t>
      </w:r>
    </w:p>
    <w:p w14:paraId="77F909D6">
      <w:pPr>
        <w:spacing w:before="0" w:after="160" w:line="324" w:lineRule="auto"/>
      </w:pPr>
      <w:r>
        <w:rPr>
          <w:rFonts w:ascii="微软雅黑" w:hAnsi="微软雅黑" w:eastAsia="微软雅黑"/>
          <w:b w:val="0"/>
          <w:sz w:val="22"/>
        </w:rPr>
        <w:t>6　异常记录</w:t>
      </w:r>
    </w:p>
    <w:p w14:paraId="3C6EC0B2">
      <w:pPr>
        <w:spacing w:before="0" w:after="160" w:line="324" w:lineRule="auto"/>
      </w:pPr>
      <w:r>
        <w:rPr>
          <w:rFonts w:ascii="微软雅黑" w:hAnsi="微软雅黑" w:eastAsia="微软雅黑"/>
          <w:b w:val="0"/>
          <w:sz w:val="22"/>
        </w:rPr>
        <w:t>7　球化记录详情：复核与处理</w:t>
      </w:r>
    </w:p>
    <w:p w14:paraId="4ADF5C9C">
      <w:pPr>
        <w:spacing w:before="0" w:after="160" w:line="324" w:lineRule="auto"/>
      </w:pPr>
      <w:r>
        <w:rPr>
          <w:rFonts w:ascii="微软雅黑" w:hAnsi="微软雅黑" w:eastAsia="微软雅黑"/>
          <w:b w:val="0"/>
          <w:sz w:val="22"/>
        </w:rPr>
        <w:t>8　检测标准管理</w:t>
      </w:r>
    </w:p>
    <w:p w14:paraId="4227028C">
      <w:pPr>
        <w:spacing w:before="0" w:after="160" w:line="324" w:lineRule="auto"/>
      </w:pPr>
      <w:r>
        <w:rPr>
          <w:rFonts w:ascii="微软雅黑" w:hAnsi="微软雅黑" w:eastAsia="微软雅黑"/>
          <w:b w:val="0"/>
          <w:sz w:val="22"/>
        </w:rPr>
        <w:t>9　常用业务流程</w:t>
      </w:r>
    </w:p>
    <w:p w14:paraId="715EADCE">
      <w:pPr>
        <w:spacing w:before="0" w:after="160" w:line="324" w:lineRule="auto"/>
      </w:pPr>
      <w:r>
        <w:rPr>
          <w:rFonts w:ascii="微软雅黑" w:hAnsi="微软雅黑" w:eastAsia="微软雅黑"/>
          <w:b w:val="0"/>
          <w:sz w:val="22"/>
        </w:rPr>
        <w:t>10　常见问题（FAQ）</w:t>
      </w:r>
    </w:p>
    <w:p w14:paraId="1631BDA0">
      <w:pPr>
        <w:spacing w:before="0" w:after="160" w:line="324" w:lineRule="auto"/>
      </w:pPr>
      <w:r>
        <w:rPr>
          <w:rFonts w:ascii="微软雅黑" w:hAnsi="微软雅黑" w:eastAsia="微软雅黑"/>
          <w:b w:val="0"/>
          <w:sz w:val="22"/>
        </w:rPr>
        <w:t>11　附录：名词解释</w:t>
      </w:r>
    </w:p>
    <w:p w14:paraId="2A223000">
      <w:pPr>
        <w:spacing w:before="0" w:after="80" w:line="324" w:lineRule="auto"/>
      </w:pPr>
    </w:p>
    <w:p w14:paraId="575234A1">
      <w:pPr>
        <w:spacing w:before="0" w:after="120" w:line="324" w:lineRule="auto"/>
      </w:pPr>
      <w:r>
        <w:rPr>
          <w:rFonts w:ascii="微软雅黑" w:hAnsi="微软雅黑" w:eastAsia="微软雅黑"/>
          <w:b w:val="0"/>
          <w:color w:val="777777"/>
          <w:sz w:val="18"/>
        </w:rPr>
        <w:t>说明：本手册中的截图均来自系统实际运行画面，与当前版本界面一致。</w:t>
      </w:r>
    </w:p>
    <w:p w14:paraId="2AD79939">
      <w:pPr>
        <w:spacing w:before="0" w:after="120" w:line="324" w:lineRule="auto"/>
      </w:pPr>
      <w:r>
        <w:rPr>
          <w:rFonts w:ascii="微软雅黑" w:hAnsi="微软雅黑" w:eastAsia="微软雅黑"/>
          <w:b w:val="0"/>
          <w:color w:val="777777"/>
          <w:sz w:val="18"/>
        </w:rPr>
        <w:t>配套文档：《AI球化检测系统用户培训手册（精简版）》，供一线工人操作使用。</w:t>
      </w:r>
    </w:p>
    <w:p w14:paraId="3167826D">
      <w:r>
        <w:br w:type="page"/>
      </w:r>
    </w:p>
    <w:p w14:paraId="38151C52">
      <w:pPr>
        <w:pStyle w:val="3"/>
        <w:spacing w:before="320" w:after="160"/>
      </w:pPr>
      <w:r>
        <w:rPr>
          <w:rFonts w:ascii="微软雅黑" w:hAnsi="微软雅黑" w:eastAsia="微软雅黑"/>
          <w:b/>
          <w:color w:val="003399"/>
          <w:sz w:val="32"/>
        </w:rPr>
        <w:t>1　系统简介</w:t>
      </w:r>
    </w:p>
    <w:p w14:paraId="252C603D">
      <w:pPr>
        <w:pStyle w:val="4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1.1　这个系统是做什么的</w:t>
      </w:r>
    </w:p>
    <w:p w14:paraId="49A826A7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AI球化检测系统是浇注工位的“数据管家”。上游的 AI 检测设备（检测模块）负责对每一包铁水的球化过程进行自动检测并产生结果，并自动推送到本系统；本系统负责把这些检测结果集中管理起来，操作人员通常无需手工录入数据。系统具体包括：</w:t>
      </w:r>
    </w:p>
    <w:p w14:paraId="497BFB8F">
      <w:pPr>
        <w:spacing w:after="60" w:line="324" w:lineRule="auto"/>
        <w:ind w:left="283"/>
      </w:pPr>
      <w:r>
        <w:rPr>
          <w:rFonts w:ascii="微软雅黑" w:hAnsi="微软雅黑" w:eastAsia="微软雅黑"/>
          <w:b w:val="0"/>
          <w:color w:val="0050B3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球化检测记录管理：</w:t>
      </w:r>
      <w:r>
        <w:rPr>
          <w:rFonts w:ascii="微软雅黑" w:hAnsi="微软雅黑" w:eastAsia="微软雅黑"/>
          <w:b w:val="0"/>
          <w:sz w:val="21"/>
        </w:rPr>
        <w:t>每一次球化检测都会生成一条记录，包含时间、温度、重量、球化时长等数据；</w:t>
      </w:r>
    </w:p>
    <w:p w14:paraId="3060D32E">
      <w:pPr>
        <w:spacing w:after="60" w:line="324" w:lineRule="auto"/>
        <w:ind w:left="283"/>
      </w:pPr>
      <w:r>
        <w:rPr>
          <w:rFonts w:ascii="微软雅黑" w:hAnsi="微软雅黑" w:eastAsia="微软雅黑"/>
          <w:b w:val="0"/>
          <w:color w:val="0050B3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异常记录查询：</w:t>
      </w:r>
      <w:r>
        <w:rPr>
          <w:rFonts w:ascii="微软雅黑" w:hAnsi="微软雅黑" w:eastAsia="微软雅黑"/>
          <w:b w:val="0"/>
          <w:sz w:val="21"/>
        </w:rPr>
        <w:t>机器判定为“异常”的记录可以单独筛选出来，方便优先处理；</w:t>
      </w:r>
    </w:p>
    <w:p w14:paraId="0761D397">
      <w:pPr>
        <w:spacing w:after="60" w:line="324" w:lineRule="auto"/>
        <w:ind w:left="283"/>
      </w:pPr>
      <w:r>
        <w:rPr>
          <w:rFonts w:ascii="微软雅黑" w:hAnsi="微软雅黑" w:eastAsia="微软雅黑"/>
          <w:b w:val="0"/>
          <w:color w:val="0050B3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人工复核：</w:t>
      </w:r>
      <w:r>
        <w:rPr>
          <w:rFonts w:ascii="微软雅黑" w:hAnsi="微软雅黑" w:eastAsia="微软雅黑"/>
          <w:b w:val="0"/>
          <w:sz w:val="21"/>
        </w:rPr>
        <w:t>对机器检测结果有异议时，由人工填写复核结论，与机器结果分开保存、互不覆盖；</w:t>
      </w:r>
    </w:p>
    <w:p w14:paraId="6C82DFD0">
      <w:pPr>
        <w:spacing w:after="60" w:line="324" w:lineRule="auto"/>
        <w:ind w:left="283"/>
      </w:pPr>
      <w:r>
        <w:rPr>
          <w:rFonts w:ascii="微软雅黑" w:hAnsi="微软雅黑" w:eastAsia="微软雅黑"/>
          <w:b w:val="0"/>
          <w:color w:val="0050B3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处理状态管理：</w:t>
      </w:r>
      <w:r>
        <w:rPr>
          <w:rFonts w:ascii="微软雅黑" w:hAnsi="微软雅黑" w:eastAsia="微软雅黑"/>
          <w:b w:val="0"/>
          <w:sz w:val="21"/>
        </w:rPr>
        <w:t>异常记录确认处置完成后，可以“标记为已处理”，并记录处理人和处理时间；</w:t>
      </w:r>
    </w:p>
    <w:p w14:paraId="65816B07">
      <w:pPr>
        <w:spacing w:after="60" w:line="324" w:lineRule="auto"/>
        <w:ind w:left="283"/>
      </w:pPr>
      <w:r>
        <w:rPr>
          <w:rFonts w:ascii="微软雅黑" w:hAnsi="微软雅黑" w:eastAsia="微软雅黑"/>
          <w:b w:val="0"/>
          <w:color w:val="0050B3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检测标准管理：</w:t>
      </w:r>
      <w:r>
        <w:rPr>
          <w:rFonts w:ascii="微软雅黑" w:hAnsi="微软雅黑" w:eastAsia="微软雅黑"/>
          <w:b w:val="0"/>
          <w:sz w:val="21"/>
        </w:rPr>
        <w:t>维护球化时间标准、称重标准，支持历史版本保留与随时切换。</w:t>
      </w:r>
    </w:p>
    <w:p w14:paraId="19EFB811">
      <w:pPr>
        <w:spacing w:before="0" w:after="40" w:line="324" w:lineRule="auto"/>
      </w:pPr>
    </w:p>
    <w:p w14:paraId="104CB432">
      <w:pPr>
        <w:spacing w:after="120" w:line="324" w:lineRule="auto"/>
      </w:pPr>
      <w:r>
        <w:rPr>
          <w:rFonts w:ascii="微软雅黑" w:hAnsi="微软雅黑" w:eastAsia="微软雅黑"/>
          <w:b/>
          <w:color w:val="003399"/>
          <w:sz w:val="21"/>
        </w:rPr>
        <w:t>简单理解：</w:t>
      </w:r>
      <w:r>
        <w:rPr>
          <w:rFonts w:ascii="微软雅黑" w:hAnsi="微软雅黑" w:eastAsia="微软雅黑"/>
          <w:b w:val="0"/>
          <w:sz w:val="21"/>
        </w:rPr>
        <w:t>机器负责“检”（检测结果自动推送进系统），系统负责“记、查、核、管”。操作工和工艺人员每天都在这个界面上工作。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1"/>
      </w:tblGrid>
      <w:tr w14:paraId="0CFED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1" w:type="dxa"/>
            <w:shd w:val="clear" w:color="auto" w:fill="FDECEC"/>
          </w:tcPr>
          <w:p w14:paraId="7C6F99A9">
            <w:pPr>
              <w:spacing w:before="80" w:after="40" w:line="240" w:lineRule="auto"/>
            </w:pPr>
            <w:r>
              <w:rPr>
                <w:rFonts w:ascii="微软雅黑" w:hAnsi="微软雅黑" w:eastAsia="微软雅黑"/>
                <w:b/>
                <w:color w:val="C62828"/>
                <w:sz w:val="20"/>
              </w:rPr>
              <w:t>重要：非必要不要新增：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检测记录正常由上游检测模块自动推送生成，不需要人工录入。系统提供的“新增记录”功能只用于特殊情况下的补录，请勿随意手工新增数据。</w:t>
            </w:r>
          </w:p>
        </w:tc>
      </w:tr>
    </w:tbl>
    <w:p w14:paraId="0AC478DA">
      <w:pPr>
        <w:spacing w:before="0" w:after="40" w:line="324" w:lineRule="auto"/>
      </w:pPr>
    </w:p>
    <w:p w14:paraId="3B5E4F97">
      <w:pPr>
        <w:pStyle w:val="4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1.2　谁能用</w:t>
      </w:r>
    </w:p>
    <w:p w14:paraId="396D7FD3">
      <w:pPr>
        <w:spacing w:after="60" w:line="312" w:lineRule="auto"/>
        <w:ind w:left="283"/>
      </w:pPr>
      <w:r>
        <w:rPr>
          <w:rFonts w:ascii="微软雅黑" w:hAnsi="微软雅黑" w:eastAsia="微软雅黑"/>
          <w:b w:val="0"/>
          <w:color w:val="0050B3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浇注工位操作工：查看实时画面和最新检测数据（数据由检测模块自动推送，仅在确需补录时手工新增）；</w:t>
      </w:r>
    </w:p>
    <w:p w14:paraId="2DC04635">
      <w:pPr>
        <w:spacing w:after="60" w:line="312" w:lineRule="auto"/>
        <w:ind w:left="283"/>
      </w:pPr>
      <w:r>
        <w:rPr>
          <w:rFonts w:ascii="微软雅黑" w:hAnsi="微软雅黑" w:eastAsia="微软雅黑"/>
          <w:b w:val="0"/>
          <w:color w:val="0050B3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工艺/质量技术人员：复核异常记录、标记处理、调整检测标准；</w:t>
      </w:r>
    </w:p>
    <w:p w14:paraId="08349490">
      <w:pPr>
        <w:spacing w:after="60" w:line="312" w:lineRule="auto"/>
        <w:ind w:left="283"/>
      </w:pPr>
      <w:r>
        <w:rPr>
          <w:rFonts w:ascii="微软雅黑" w:hAnsi="微软雅黑" w:eastAsia="微软雅黑"/>
          <w:b w:val="0"/>
          <w:color w:val="0050B3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班组长/统计人员：在首页查看总记录数、异常数、已处理/未处理情况。</w:t>
      </w:r>
    </w:p>
    <w:p w14:paraId="4F856CBC">
      <w:pPr>
        <w:pStyle w:val="4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1.3　如何打开系统</w:t>
      </w:r>
    </w:p>
    <w:p w14:paraId="4523965E"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>第 1 步　</w:t>
      </w:r>
      <w:r>
        <w:rPr>
          <w:rFonts w:ascii="微软雅黑" w:hAnsi="微软雅黑" w:eastAsia="微软雅黑"/>
          <w:b w:val="0"/>
          <w:sz w:val="21"/>
        </w:rPr>
        <w:t>使用 Microsoft Edge 或 Google Chrome 浏览器（建议使用最新版）。</w:t>
      </w:r>
    </w:p>
    <w:p w14:paraId="055513B4"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>第 2 步　</w:t>
      </w:r>
      <w:r>
        <w:rPr>
          <w:rFonts w:ascii="微软雅黑" w:hAnsi="微软雅黑" w:eastAsia="微软雅黑"/>
          <w:b w:val="0"/>
          <w:sz w:val="21"/>
        </w:rPr>
        <w:t>在浏览器地址栏输入系统地址并回车，例如测试环境为 http://localhost:5173 ，正式环境以 IT 部门分发的地址为准。</w:t>
      </w:r>
    </w:p>
    <w:p w14:paraId="366B568B"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>第 3 步　</w:t>
      </w:r>
      <w:r>
        <w:rPr>
          <w:rFonts w:ascii="微软雅黑" w:hAnsi="微软雅黑" w:eastAsia="微软雅黑"/>
          <w:b w:val="0"/>
          <w:sz w:val="21"/>
        </w:rPr>
        <w:t>页面打开后即进入“浇注工位监控”首页，无需登录即可使用。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1"/>
      </w:tblGrid>
      <w:tr w14:paraId="271CA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1" w:type="dxa"/>
            <w:shd w:val="clear" w:color="auto" w:fill="EFF6FF"/>
          </w:tcPr>
          <w:p w14:paraId="4E054010">
            <w:pPr>
              <w:spacing w:before="80" w:after="40" w:line="240" w:lineRule="auto"/>
            </w:pPr>
            <w:r>
              <w:rPr>
                <w:rFonts w:ascii="微软雅黑" w:hAnsi="微软雅黑" w:eastAsia="微软雅黑"/>
                <w:b/>
                <w:color w:val="003399"/>
                <w:sz w:val="20"/>
              </w:rPr>
              <w:t>提示：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建议将浏览器窗口最大化使用；屏幕分辨率 1366×768 及以上时显示效果最佳。页面右上角的“系统正常”按钮表示后端服务连接正常，可点击查看连接状态。</w:t>
            </w:r>
          </w:p>
        </w:tc>
      </w:tr>
    </w:tbl>
    <w:p w14:paraId="2E138F51">
      <w:pPr>
        <w:spacing w:before="0" w:after="40" w:line="324" w:lineRule="auto"/>
      </w:pPr>
    </w:p>
    <w:p w14:paraId="712AE5EA">
      <w:pPr>
        <w:pStyle w:val="3"/>
        <w:spacing w:before="320" w:after="160"/>
      </w:pPr>
      <w:r>
        <w:rPr>
          <w:rFonts w:ascii="微软雅黑" w:hAnsi="微软雅黑" w:eastAsia="微软雅黑"/>
          <w:b/>
          <w:color w:val="003399"/>
          <w:sz w:val="32"/>
        </w:rPr>
        <w:t>2　认识系统界面</w:t>
      </w:r>
    </w:p>
    <w:p w14:paraId="4850FF42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整个系统由一个顶部导航栏和两个大的功能区域组成。顶部导航栏在所有页面都存在，包含 3 个元素（从左到右）：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664C2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003399"/>
          </w:tcPr>
          <w:p w14:paraId="581DC039">
            <w:pPr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位置</w:t>
            </w:r>
          </w:p>
        </w:tc>
        <w:tc>
          <w:tcPr>
            <w:tcW w:w="2494" w:type="dxa"/>
            <w:shd w:val="clear" w:color="auto" w:fill="003399"/>
          </w:tcPr>
          <w:p w14:paraId="1D0DCF91">
            <w:pPr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名称</w:t>
            </w:r>
          </w:p>
        </w:tc>
        <w:tc>
          <w:tcPr>
            <w:tcW w:w="4989" w:type="dxa"/>
            <w:shd w:val="clear" w:color="auto" w:fill="003399"/>
          </w:tcPr>
          <w:p w14:paraId="12C39782">
            <w:pPr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</w:tr>
      <w:tr w14:paraId="5FA60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70CF583D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左侧</w:t>
            </w:r>
          </w:p>
        </w:tc>
        <w:tc>
          <w:tcPr>
            <w:tcW w:w="2494" w:type="dxa"/>
          </w:tcPr>
          <w:p w14:paraId="53B14FE5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采集管理（系统标识）</w:t>
            </w:r>
          </w:p>
        </w:tc>
        <w:tc>
          <w:tcPr>
            <w:tcW w:w="4989" w:type="dxa"/>
          </w:tcPr>
          <w:p w14:paraId="6720F05D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点击返回“浇注工位监控”首页</w:t>
            </w:r>
          </w:p>
        </w:tc>
      </w:tr>
      <w:tr w14:paraId="008A5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2F7FC"/>
          </w:tcPr>
          <w:p w14:paraId="4B82E2AF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中间</w:t>
            </w:r>
          </w:p>
        </w:tc>
        <w:tc>
          <w:tcPr>
            <w:tcW w:w="2494" w:type="dxa"/>
            <w:shd w:val="clear" w:color="auto" w:fill="F2F7FC"/>
          </w:tcPr>
          <w:p w14:paraId="4C9A6A2F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浇注工位监控</w:t>
            </w:r>
          </w:p>
        </w:tc>
        <w:tc>
          <w:tcPr>
            <w:tcW w:w="4989" w:type="dxa"/>
            <w:shd w:val="clear" w:color="auto" w:fill="F2F7FC"/>
          </w:tcPr>
          <w:p w14:paraId="1B8C2DDF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进入实时监控页（系统首页）</w:t>
            </w:r>
          </w:p>
        </w:tc>
      </w:tr>
      <w:tr w14:paraId="178F8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346C21E3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中间</w:t>
            </w:r>
          </w:p>
        </w:tc>
        <w:tc>
          <w:tcPr>
            <w:tcW w:w="2494" w:type="dxa"/>
          </w:tcPr>
          <w:p w14:paraId="5C67F7B3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异常记录</w:t>
            </w:r>
          </w:p>
        </w:tc>
        <w:tc>
          <w:tcPr>
            <w:tcW w:w="4989" w:type="dxa"/>
          </w:tcPr>
          <w:p w14:paraId="657388C9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直接进入异常记录页，只列出机器判异常的记录</w:t>
            </w:r>
          </w:p>
        </w:tc>
      </w:tr>
      <w:tr w14:paraId="672EA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2F7FC"/>
          </w:tcPr>
          <w:p w14:paraId="69AF0425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右侧</w:t>
            </w:r>
          </w:p>
        </w:tc>
        <w:tc>
          <w:tcPr>
            <w:tcW w:w="2494" w:type="dxa"/>
            <w:shd w:val="clear" w:color="auto" w:fill="F2F7FC"/>
          </w:tcPr>
          <w:p w14:paraId="0516BF91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系统状态按钮</w:t>
            </w:r>
          </w:p>
        </w:tc>
        <w:tc>
          <w:tcPr>
            <w:tcW w:w="4989" w:type="dxa"/>
            <w:shd w:val="clear" w:color="auto" w:fill="F2F7FC"/>
          </w:tcPr>
          <w:p w14:paraId="1293447E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显示“系统正常 / 系统离线 / 连接中”，点击可重新检测连接</w:t>
            </w:r>
          </w:p>
        </w:tc>
      </w:tr>
    </w:tbl>
    <w:p w14:paraId="3661F7F6">
      <w:pPr>
        <w:spacing w:before="0" w:after="40" w:line="324" w:lineRule="auto"/>
      </w:pPr>
    </w:p>
    <w:p w14:paraId="7DC645E4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进入“记录区”（首页 / 球化记录 / 异常记录 / 检测标准）后，页面变为“左侧功能菜单 + 右侧内容”的布局，左侧菜单共 4 项：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  <w:gridCol w:w="1"/>
      </w:tblGrid>
      <w:tr w14:paraId="634C3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dxa"/>
          <w:jc w:val="center"/>
        </w:trPr>
        <w:tc>
          <w:tcPr>
            <w:tcW w:w="1814" w:type="dxa"/>
            <w:shd w:val="clear" w:color="auto" w:fill="003399"/>
          </w:tcPr>
          <w:p w14:paraId="081C2FAC">
            <w:pPr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菜单项</w:t>
            </w:r>
          </w:p>
        </w:tc>
        <w:tc>
          <w:tcPr>
            <w:tcW w:w="3061" w:type="dxa"/>
            <w:shd w:val="clear" w:color="auto" w:fill="003399"/>
          </w:tcPr>
          <w:p w14:paraId="1DC14430">
            <w:pPr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页面地址</w:t>
            </w:r>
          </w:p>
        </w:tc>
        <w:tc>
          <w:tcPr>
            <w:tcW w:w="3855" w:type="dxa"/>
            <w:shd w:val="clear" w:color="auto" w:fill="003399"/>
          </w:tcPr>
          <w:p w14:paraId="6E791F6E">
            <w:pPr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 w14:paraId="38BA1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dxa"/>
          <w:jc w:val="center"/>
        </w:trPr>
        <w:tc>
          <w:tcPr>
            <w:tcW w:w="1814" w:type="dxa"/>
          </w:tcPr>
          <w:p w14:paraId="51F661C2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首页</w:t>
            </w:r>
          </w:p>
        </w:tc>
        <w:tc>
          <w:tcPr>
            <w:tcW w:w="3061" w:type="dxa"/>
          </w:tcPr>
          <w:p w14:paraId="26BF60BA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/records/home</w:t>
            </w:r>
          </w:p>
        </w:tc>
        <w:tc>
          <w:tcPr>
            <w:tcW w:w="3855" w:type="dxa"/>
          </w:tcPr>
          <w:p w14:paraId="0E943283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统计数据总览 + 最近检测记录</w:t>
            </w:r>
          </w:p>
        </w:tc>
      </w:tr>
      <w:tr w14:paraId="3CC4F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dxa"/>
          <w:jc w:val="center"/>
        </w:trPr>
        <w:tc>
          <w:tcPr>
            <w:tcW w:w="1814" w:type="dxa"/>
            <w:shd w:val="clear" w:color="auto" w:fill="F2F7FC"/>
          </w:tcPr>
          <w:p w14:paraId="56EF9E7C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球化记录</w:t>
            </w:r>
          </w:p>
        </w:tc>
        <w:tc>
          <w:tcPr>
            <w:tcW w:w="3061" w:type="dxa"/>
            <w:shd w:val="clear" w:color="auto" w:fill="F2F7FC"/>
          </w:tcPr>
          <w:p w14:paraId="4D2D7428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/records/spheroidization</w:t>
            </w:r>
          </w:p>
        </w:tc>
        <w:tc>
          <w:tcPr>
            <w:tcW w:w="3855" w:type="dxa"/>
            <w:shd w:val="clear" w:color="auto" w:fill="F2F7FC"/>
          </w:tcPr>
          <w:p w14:paraId="5CDA743A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查询全部球化检测记录、新增记录</w:t>
            </w:r>
          </w:p>
        </w:tc>
      </w:tr>
      <w:tr w14:paraId="03F50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dxa"/>
          <w:jc w:val="center"/>
        </w:trPr>
        <w:tc>
          <w:tcPr>
            <w:tcW w:w="1814" w:type="dxa"/>
          </w:tcPr>
          <w:p w14:paraId="6EAE798E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异常记录</w:t>
            </w:r>
          </w:p>
        </w:tc>
        <w:tc>
          <w:tcPr>
            <w:tcW w:w="3061" w:type="dxa"/>
          </w:tcPr>
          <w:p w14:paraId="49DFC603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/records/abnormal</w:t>
            </w:r>
          </w:p>
        </w:tc>
        <w:tc>
          <w:tcPr>
            <w:tcW w:w="3855" w:type="dxa"/>
          </w:tcPr>
          <w:p w14:paraId="6A4D126D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只查看机器判“异常”的记录并处理</w:t>
            </w:r>
          </w:p>
        </w:tc>
      </w:tr>
      <w:tr w14:paraId="3EAD1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dxa"/>
          <w:jc w:val="center"/>
        </w:trPr>
        <w:tc>
          <w:tcPr>
            <w:tcW w:w="1814" w:type="dxa"/>
            <w:shd w:val="clear" w:color="auto" w:fill="F2F7FC"/>
          </w:tcPr>
          <w:p w14:paraId="5CA5B8E4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检测标准</w:t>
            </w:r>
          </w:p>
        </w:tc>
        <w:tc>
          <w:tcPr>
            <w:tcW w:w="3061" w:type="dxa"/>
            <w:shd w:val="clear" w:color="auto" w:fill="F2F7FC"/>
          </w:tcPr>
          <w:p w14:paraId="4ECEA683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/records/standard</w:t>
            </w:r>
          </w:p>
        </w:tc>
        <w:tc>
          <w:tcPr>
            <w:tcW w:w="3855" w:type="dxa"/>
            <w:shd w:val="clear" w:color="auto" w:fill="F2F7FC"/>
          </w:tcPr>
          <w:p w14:paraId="097A3E50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查看/创建/应用检测标准</w:t>
            </w:r>
          </w:p>
        </w:tc>
      </w:tr>
      <w:tr w14:paraId="5A9CD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31" w:type="dxa"/>
            <w:gridSpan w:val="4"/>
            <w:shd w:val="clear" w:color="auto" w:fill="EFF6FF"/>
          </w:tcPr>
          <w:p w14:paraId="3A2DD8B2">
            <w:pPr>
              <w:spacing w:before="80" w:after="40" w:line="240" w:lineRule="auto"/>
            </w:pPr>
            <w:r>
              <w:rPr>
                <w:rFonts w:ascii="微软雅黑" w:hAnsi="微软雅黑" w:eastAsia="微软雅黑"/>
                <w:b/>
                <w:color w:val="003399"/>
                <w:sz w:val="20"/>
              </w:rPr>
              <w:t>提示：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左侧菜单和顶部“异常记录”链接打开的是同一个异常页面，只是入口不同；从哪边进都行。</w:t>
            </w:r>
          </w:p>
        </w:tc>
      </w:tr>
    </w:tbl>
    <w:p w14:paraId="474AC058">
      <w:pPr>
        <w:spacing w:before="0" w:after="40" w:line="324" w:lineRule="auto"/>
      </w:pPr>
    </w:p>
    <w:p w14:paraId="3AFCF47F">
      <w:pPr>
        <w:pStyle w:val="3"/>
        <w:spacing w:before="320" w:after="160"/>
      </w:pPr>
      <w:r>
        <w:rPr>
          <w:rFonts w:ascii="微软雅黑" w:hAnsi="微软雅黑" w:eastAsia="微软雅黑"/>
          <w:b/>
          <w:color w:val="003399"/>
          <w:sz w:val="32"/>
        </w:rPr>
        <w:t>3　浇注工位监控（系统首页）</w:t>
      </w:r>
    </w:p>
    <w:p w14:paraId="0CCB48D6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打开系统后首先看到的就是“浇注工位监控”页面（标题：浇注工位AI智能化系统）。这一页用于班中随时“瞄一眼”：两个摄像头的实时画面、最近 5 条检测数据、以及当前记录的状态。</w:t>
      </w:r>
    </w:p>
    <w:p w14:paraId="6F7038F4">
      <w:pPr>
        <w:spacing w:before="120" w:after="40"/>
        <w:jc w:val="center"/>
      </w:pPr>
      <w:r>
        <w:drawing>
          <wp:inline distT="0" distB="0" distL="114300" distR="114300">
            <wp:extent cx="5970905" cy="3171190"/>
            <wp:effectExtent l="0" t="0" r="10795" b="381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317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26395">
      <w:pPr>
        <w:spacing w:after="200"/>
        <w:jc w:val="center"/>
      </w:pPr>
      <w:r>
        <w:rPr>
          <w:rFonts w:ascii="微软雅黑" w:hAnsi="微软雅黑" w:eastAsia="微软雅黑"/>
          <w:b w:val="0"/>
          <w:color w:val="777777"/>
          <w:sz w:val="18"/>
        </w:rPr>
        <w:t>图 1　浇注工位监控页面（顶部导航栏、摄像头画面、最新检测数据与状态栏）</w:t>
      </w:r>
    </w:p>
    <w:p w14:paraId="73DA7783">
      <w:pPr>
        <w:pStyle w:val="4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3.1　摄像头视频窗口</w:t>
      </w:r>
    </w:p>
    <w:p w14:paraId="69DB609B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页面上方并排显示两个摄像头窗口：浇注工位 #01 和 浇注工位 #02。</w:t>
      </w:r>
    </w:p>
    <w:p w14:paraId="58D1B49F">
      <w:pPr>
        <w:spacing w:after="60" w:line="312" w:lineRule="auto"/>
        <w:ind w:left="283"/>
      </w:pPr>
      <w:r>
        <w:rPr>
          <w:rFonts w:ascii="微软雅黑" w:hAnsi="微软雅黑" w:eastAsia="微软雅黑"/>
          <w:b w:val="0"/>
          <w:color w:val="0050B3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窗口右上角显示绿色“● 视频流”：摄像头在线，画面正常；</w:t>
      </w:r>
    </w:p>
    <w:p w14:paraId="450C2D68">
      <w:pPr>
        <w:spacing w:after="60" w:line="312" w:lineRule="auto"/>
        <w:ind w:left="283"/>
      </w:pPr>
      <w:r>
        <w:rPr>
          <w:rFonts w:ascii="微软雅黑" w:hAnsi="微软雅黑" w:eastAsia="微软雅黑"/>
          <w:b w:val="0"/>
          <w:color w:val="0050B3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显示橙色“未连接”、窗口内为“等待视频流接入”：摄像头或视频服务未上线，画面接入后会自动显示。</w:t>
      </w:r>
    </w:p>
    <w:p w14:paraId="5F6AF8F7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视频窗口本身只用于观看，不需要操作。</w:t>
      </w:r>
    </w:p>
    <w:p w14:paraId="753FE640">
      <w:pPr>
        <w:pStyle w:val="4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3.2　“新增一行数据”按钮（非必要不要用）</w:t>
      </w:r>
    </w:p>
    <w:p w14:paraId="186E7380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视频窗口下方的“＋ 新增一行数据”按钮，会跳转到“球化记录”页面并自动打开新增表单（详见第 5.3 节），用于手工补录一条检测数据。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1"/>
      </w:tblGrid>
      <w:tr w14:paraId="2655D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1" w:type="dxa"/>
            <w:shd w:val="clear" w:color="auto" w:fill="FDECEC"/>
          </w:tcPr>
          <w:p w14:paraId="603A4FF2">
            <w:pPr>
              <w:spacing w:before="80" w:after="40" w:line="240" w:lineRule="auto"/>
            </w:pPr>
            <w:r>
              <w:rPr>
                <w:rFonts w:ascii="微软雅黑" w:hAnsi="微软雅黑" w:eastAsia="微软雅黑"/>
                <w:b/>
                <w:color w:val="C62828"/>
                <w:sz w:val="20"/>
              </w:rPr>
              <w:t>重要：非必要不要新增：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检测记录正常由上游检测模块自动推送并写入系统，无需人工新增。该按钮仅在确有需要（如检测模块未能自动推送）时才使用；随意手工新增会产生重复记录，干扰统计结果与质量追溯。</w:t>
            </w:r>
          </w:p>
        </w:tc>
      </w:tr>
    </w:tbl>
    <w:p w14:paraId="1132EB49">
      <w:pPr>
        <w:spacing w:before="0" w:after="40" w:line="324" w:lineRule="auto"/>
      </w:pPr>
    </w:p>
    <w:p w14:paraId="4AA45B63">
      <w:pPr>
        <w:pStyle w:val="4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3.3　最新检测数据表</w:t>
      </w:r>
    </w:p>
    <w:p w14:paraId="54BF8182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中间表格按检测时间从新到旧显示最近 5 条记录，各列含义如下：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1EF34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003399"/>
          </w:tcPr>
          <w:p w14:paraId="5CFDE381">
            <w:pPr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列名</w:t>
            </w:r>
          </w:p>
        </w:tc>
        <w:tc>
          <w:tcPr>
            <w:tcW w:w="6123" w:type="dxa"/>
            <w:shd w:val="clear" w:color="auto" w:fill="003399"/>
          </w:tcPr>
          <w:p w14:paraId="46CD060C">
            <w:pPr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 w14:paraId="5871E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44A78979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序号</w:t>
            </w:r>
          </w:p>
        </w:tc>
        <w:tc>
          <w:tcPr>
            <w:tcW w:w="6123" w:type="dxa"/>
          </w:tcPr>
          <w:p w14:paraId="56E40626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记录编号（ID），点击“异常记录”或详情页可用它找到对应记录</w:t>
            </w:r>
          </w:p>
        </w:tc>
      </w:tr>
      <w:tr w14:paraId="54787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2F7FC"/>
          </w:tcPr>
          <w:p w14:paraId="4E9AFCA9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球化重量</w:t>
            </w:r>
          </w:p>
        </w:tc>
        <w:tc>
          <w:tcPr>
            <w:tcW w:w="6123" w:type="dxa"/>
            <w:shd w:val="clear" w:color="auto" w:fill="F2F7FC"/>
          </w:tcPr>
          <w:p w14:paraId="28FBBF94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本次检测对应铁水的重量</w:t>
            </w:r>
          </w:p>
        </w:tc>
      </w:tr>
      <w:tr w14:paraId="06C65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76B8345A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测温时间 / 温度</w:t>
            </w:r>
          </w:p>
        </w:tc>
        <w:tc>
          <w:tcPr>
            <w:tcW w:w="6123" w:type="dxa"/>
          </w:tcPr>
          <w:p w14:paraId="56D95FB0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测温的时刻与铁水温度</w:t>
            </w:r>
          </w:p>
        </w:tc>
      </w:tr>
      <w:tr w14:paraId="4EC04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2F7FC"/>
          </w:tcPr>
          <w:p w14:paraId="2A8508C5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进线开始/结束时间</w:t>
            </w:r>
          </w:p>
        </w:tc>
        <w:tc>
          <w:tcPr>
            <w:tcW w:w="6123" w:type="dxa"/>
            <w:shd w:val="clear" w:color="auto" w:fill="F2F7FC"/>
          </w:tcPr>
          <w:p w14:paraId="3B6E6FE2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进线开始与结束的时刻</w:t>
            </w:r>
          </w:p>
        </w:tc>
      </w:tr>
      <w:tr w14:paraId="53C4E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27158755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进线持续时间</w:t>
            </w:r>
          </w:p>
        </w:tc>
        <w:tc>
          <w:tcPr>
            <w:tcW w:w="6123" w:type="dxa"/>
          </w:tcPr>
          <w:p w14:paraId="42ADC6C6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进线的总时长</w:t>
            </w:r>
          </w:p>
        </w:tc>
      </w:tr>
      <w:tr w14:paraId="2FB0E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2F7FC"/>
          </w:tcPr>
          <w:p w14:paraId="6B1DFE16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球化开始/结束时间</w:t>
            </w:r>
          </w:p>
        </w:tc>
        <w:tc>
          <w:tcPr>
            <w:tcW w:w="6123" w:type="dxa"/>
            <w:shd w:val="clear" w:color="auto" w:fill="F2F7FC"/>
          </w:tcPr>
          <w:p w14:paraId="080F86CF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球化反应开始与结束的时刻</w:t>
            </w:r>
          </w:p>
        </w:tc>
      </w:tr>
      <w:tr w14:paraId="29063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38DE9814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球化时间</w:t>
            </w:r>
          </w:p>
        </w:tc>
        <w:tc>
          <w:tcPr>
            <w:tcW w:w="6123" w:type="dxa"/>
          </w:tcPr>
          <w:p w14:paraId="5723BB65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本次实际球化反应时长</w:t>
            </w:r>
          </w:p>
        </w:tc>
      </w:tr>
      <w:tr w14:paraId="2E700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2F7FC"/>
          </w:tcPr>
          <w:p w14:paraId="096C65E5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球化结果</w:t>
            </w:r>
          </w:p>
        </w:tc>
        <w:tc>
          <w:tcPr>
            <w:tcW w:w="6123" w:type="dxa"/>
            <w:shd w:val="clear" w:color="auto" w:fill="F2F7FC"/>
          </w:tcPr>
          <w:p w14:paraId="3EF02EC2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机器判定：正常 / 异常</w:t>
            </w:r>
          </w:p>
        </w:tc>
      </w:tr>
      <w:tr w14:paraId="1B4F1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73E52200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报警原因</w:t>
            </w:r>
          </w:p>
        </w:tc>
        <w:tc>
          <w:tcPr>
            <w:tcW w:w="6123" w:type="dxa"/>
          </w:tcPr>
          <w:p w14:paraId="6656BB87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异常时显示原因（如“球化异常”），正常显示“无”</w:t>
            </w:r>
          </w:p>
        </w:tc>
      </w:tr>
    </w:tbl>
    <w:p w14:paraId="7EAF30EE">
      <w:pPr>
        <w:spacing w:before="0" w:after="40" w:line="324" w:lineRule="auto"/>
      </w:pPr>
    </w:p>
    <w:p w14:paraId="0585F6E3">
      <w:pPr>
        <w:spacing w:after="120" w:line="324" w:lineRule="auto"/>
      </w:pPr>
      <w:r>
        <w:rPr>
          <w:rFonts w:ascii="微软雅黑" w:hAnsi="微软雅黑" w:eastAsia="微软雅黑"/>
          <w:b/>
          <w:color w:val="D97706"/>
          <w:sz w:val="21"/>
        </w:rPr>
        <w:t>注意：</w:t>
      </w:r>
      <w:r>
        <w:rPr>
          <w:rFonts w:ascii="微软雅黑" w:hAnsi="微软雅黑" w:eastAsia="微软雅黑"/>
          <w:b w:val="0"/>
          <w:sz w:val="21"/>
        </w:rPr>
        <w:t>个别列显示“--”，表示老记录没有这项数据，属于正常现象。</w:t>
      </w:r>
    </w:p>
    <w:p w14:paraId="5AB3A615">
      <w:pPr>
        <w:pStyle w:val="4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3.4　底部状态栏</w:t>
      </w:r>
    </w:p>
    <w:p w14:paraId="0B616FD1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页面最下方的蓝色信息栏显示“当前最新一条记录”的概况：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76C04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003399"/>
          </w:tcPr>
          <w:p w14:paraId="350A71D1">
            <w:pPr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w="6123" w:type="dxa"/>
            <w:shd w:val="clear" w:color="auto" w:fill="003399"/>
          </w:tcPr>
          <w:p w14:paraId="48EB0CC8">
            <w:pPr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 w14:paraId="53043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031F4BE4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当前记录状态</w:t>
            </w:r>
          </w:p>
        </w:tc>
        <w:tc>
          <w:tcPr>
            <w:tcW w:w="6123" w:type="dxa"/>
          </w:tcPr>
          <w:p w14:paraId="3C238F1F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最新记录是“待处理”还是“已处理”</w:t>
            </w:r>
          </w:p>
        </w:tc>
      </w:tr>
      <w:tr w14:paraId="5FCFF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2F7FC"/>
          </w:tcPr>
          <w:p w14:paraId="6C075976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标准/实际球化时间</w:t>
            </w:r>
          </w:p>
        </w:tc>
        <w:tc>
          <w:tcPr>
            <w:tcW w:w="6123" w:type="dxa"/>
            <w:shd w:val="clear" w:color="auto" w:fill="F2F7FC"/>
          </w:tcPr>
          <w:p w14:paraId="53216947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格式为“标准值 / 实际值”，一眼对比是否达标</w:t>
            </w:r>
          </w:p>
        </w:tc>
      </w:tr>
      <w:tr w14:paraId="6FCDA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2229D940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检测时间</w:t>
            </w:r>
          </w:p>
        </w:tc>
        <w:tc>
          <w:tcPr>
            <w:tcW w:w="6123" w:type="dxa"/>
          </w:tcPr>
          <w:p w14:paraId="00E92D34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最新记录的检测时刻</w:t>
            </w:r>
          </w:p>
        </w:tc>
      </w:tr>
      <w:tr w14:paraId="110F0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2F7FC"/>
          </w:tcPr>
          <w:p w14:paraId="72847D5C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检测结果</w:t>
            </w:r>
          </w:p>
        </w:tc>
        <w:tc>
          <w:tcPr>
            <w:tcW w:w="6123" w:type="dxa"/>
            <w:shd w:val="clear" w:color="auto" w:fill="F2F7FC"/>
          </w:tcPr>
          <w:p w14:paraId="225B21EA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机器判定：正常 / 异常</w:t>
            </w:r>
          </w:p>
        </w:tc>
      </w:tr>
      <w:tr w14:paraId="5134C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5B701237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处理人</w:t>
            </w:r>
          </w:p>
        </w:tc>
        <w:tc>
          <w:tcPr>
            <w:tcW w:w="6123" w:type="dxa"/>
          </w:tcPr>
          <w:p w14:paraId="052E3928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已处理时显示处理人姓名，未处理显示“--”</w:t>
            </w:r>
          </w:p>
        </w:tc>
      </w:tr>
    </w:tbl>
    <w:p w14:paraId="29156499">
      <w:pPr>
        <w:pStyle w:val="3"/>
        <w:spacing w:before="320" w:after="160"/>
      </w:pPr>
      <w:r>
        <w:rPr>
          <w:rFonts w:ascii="微软雅黑" w:hAnsi="微软雅黑" w:eastAsia="微软雅黑"/>
          <w:b/>
          <w:color w:val="003399"/>
          <w:sz w:val="32"/>
        </w:rPr>
        <w:t>4　首页：统计概览</w:t>
      </w:r>
    </w:p>
    <w:p w14:paraId="4E394AE1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在左侧菜单点击“首页”进入统计概览页。这一页回答三个问题：“一共检了多少？”“有多少异常？”“处理得怎么样？”</w:t>
      </w:r>
    </w:p>
    <w:p w14:paraId="0262950C">
      <w:pPr>
        <w:spacing w:before="120" w:after="40"/>
        <w:jc w:val="center"/>
      </w:pPr>
      <w:r>
        <w:drawing>
          <wp:inline distT="0" distB="0" distL="114300" distR="114300">
            <wp:extent cx="5543550" cy="3849370"/>
            <wp:effectExtent l="0" t="0" r="635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8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E2523">
      <w:pPr>
        <w:spacing w:after="200"/>
        <w:jc w:val="center"/>
      </w:pPr>
      <w:r>
        <w:rPr>
          <w:rFonts w:ascii="微软雅黑" w:hAnsi="微软雅黑" w:eastAsia="微软雅黑"/>
          <w:b w:val="0"/>
          <w:color w:val="777777"/>
          <w:sz w:val="18"/>
        </w:rPr>
        <w:t>图 2　首页统计概览（统计卡片、最近检测记录、快捷操作）</w:t>
      </w:r>
    </w:p>
    <w:p w14:paraId="369332C8">
      <w:pPr>
        <w:pStyle w:val="4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4.1　统计卡片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580AE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003399"/>
          </w:tcPr>
          <w:p w14:paraId="0663359B">
            <w:pPr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卡片</w:t>
            </w:r>
          </w:p>
        </w:tc>
        <w:tc>
          <w:tcPr>
            <w:tcW w:w="6123" w:type="dxa"/>
            <w:shd w:val="clear" w:color="auto" w:fill="003399"/>
          </w:tcPr>
          <w:p w14:paraId="0556352A">
            <w:pPr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 w14:paraId="7A765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10FEEC32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总记录数</w:t>
            </w:r>
          </w:p>
        </w:tc>
        <w:tc>
          <w:tcPr>
            <w:tcW w:w="6123" w:type="dxa"/>
          </w:tcPr>
          <w:p w14:paraId="6EB68AD5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系统中球化检测记录的总数</w:t>
            </w:r>
          </w:p>
        </w:tc>
      </w:tr>
      <w:tr w14:paraId="2BEBC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2F7FC"/>
          </w:tcPr>
          <w:p w14:paraId="28695274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异常记录</w:t>
            </w:r>
          </w:p>
        </w:tc>
        <w:tc>
          <w:tcPr>
            <w:tcW w:w="6123" w:type="dxa"/>
            <w:shd w:val="clear" w:color="auto" w:fill="F2F7FC"/>
          </w:tcPr>
          <w:p w14:paraId="336620B7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机器判定为“异常”的记录数（红色数字）</w:t>
            </w:r>
          </w:p>
        </w:tc>
      </w:tr>
      <w:tr w14:paraId="52BED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74C1CBF4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已处理</w:t>
            </w:r>
          </w:p>
        </w:tc>
        <w:tc>
          <w:tcPr>
            <w:tcW w:w="6123" w:type="dxa"/>
          </w:tcPr>
          <w:p w14:paraId="6259ADFB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已标记为“已处理”的记录数（绿色数字）</w:t>
            </w:r>
          </w:p>
        </w:tc>
      </w:tr>
      <w:tr w14:paraId="7A092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2F7FC"/>
          </w:tcPr>
          <w:p w14:paraId="695CBCA4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未处理</w:t>
            </w:r>
          </w:p>
        </w:tc>
        <w:tc>
          <w:tcPr>
            <w:tcW w:w="6123" w:type="dxa"/>
            <w:shd w:val="clear" w:color="auto" w:fill="F2F7FC"/>
          </w:tcPr>
          <w:p w14:paraId="4DD0290A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尚未处理的记录数（橙色数字）</w:t>
            </w:r>
          </w:p>
        </w:tc>
      </w:tr>
    </w:tbl>
    <w:p w14:paraId="14DE0047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右上角“刷新”按钮可重新拉取最新数据。</w:t>
      </w:r>
    </w:p>
    <w:p w14:paraId="2A12E3EB">
      <w:pPr>
        <w:pStyle w:val="4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4.2　最近检测记录</w:t>
      </w:r>
    </w:p>
    <w:p w14:paraId="52841E2C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表格显示最近 5 条记录（ID、检测时间、球化开始/结束时间、检测结果、处理状态）。点击行尾的“查看详情”进入该记录的详情页（第 7 章）；点击“查看全部”进入球化记录列表（第 5 章）。</w:t>
      </w:r>
    </w:p>
    <w:p w14:paraId="0C3EB1C2">
      <w:pPr>
        <w:pStyle w:val="4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4.3　快捷操作</w:t>
      </w:r>
    </w:p>
    <w:p w14:paraId="6D6ED94B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页面底部的两个按钮“查看球化记录”“管理检测标准”分别是第 5 章和第 8 章页面的快捷入口。</w:t>
      </w:r>
    </w:p>
    <w:p w14:paraId="5C648109">
      <w:pPr>
        <w:pStyle w:val="3"/>
        <w:spacing w:before="320" w:after="160"/>
      </w:pPr>
      <w:r>
        <w:rPr>
          <w:rFonts w:ascii="微软雅黑" w:hAnsi="微软雅黑" w:eastAsia="微软雅黑"/>
          <w:b/>
          <w:color w:val="003399"/>
          <w:sz w:val="32"/>
        </w:rPr>
        <w:t>5　球化记录：查询与管理</w:t>
      </w:r>
    </w:p>
    <w:p w14:paraId="5969D833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“球化记录”页面是记录的主列表：所有检测记录都在这里查询、翻页；确需补录时才使用“新增记录”（见第 5.3 节）。</w:t>
      </w:r>
    </w:p>
    <w:p w14:paraId="12C44EBD">
      <w:pPr>
        <w:spacing w:before="120" w:after="40"/>
        <w:jc w:val="center"/>
      </w:pPr>
      <w:r>
        <w:drawing>
          <wp:inline distT="0" distB="0" distL="114300" distR="114300">
            <wp:extent cx="5543550" cy="3849370"/>
            <wp:effectExtent l="0" t="0" r="6350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8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0934B">
      <w:pPr>
        <w:spacing w:after="200"/>
        <w:jc w:val="center"/>
      </w:pPr>
      <w:r>
        <w:rPr>
          <w:rFonts w:ascii="微软雅黑" w:hAnsi="微软雅黑" w:eastAsia="微软雅黑"/>
          <w:b w:val="0"/>
          <w:color w:val="777777"/>
          <w:sz w:val="18"/>
        </w:rPr>
        <w:t>图 3　球化记录列表（查询条件、记录表格、分页）</w:t>
      </w:r>
    </w:p>
    <w:p w14:paraId="636056FB">
      <w:pPr>
        <w:pStyle w:val="4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5.1　查询记录</w:t>
      </w:r>
    </w:p>
    <w:p w14:paraId="545A4E24"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>第 1 步　</w:t>
      </w:r>
      <w:r>
        <w:rPr>
          <w:rFonts w:ascii="微软雅黑" w:hAnsi="微软雅黑" w:eastAsia="微软雅黑"/>
          <w:b w:val="0"/>
          <w:sz w:val="21"/>
        </w:rPr>
        <w:t>在“检测结果”下拉框选择：全部 / 正常 / 异常。</w:t>
      </w:r>
    </w:p>
    <w:p w14:paraId="68BC0FC9"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>第 2 步　</w:t>
      </w:r>
      <w:r>
        <w:rPr>
          <w:rFonts w:ascii="微软雅黑" w:hAnsi="微软雅黑" w:eastAsia="微软雅黑"/>
          <w:b w:val="0"/>
          <w:sz w:val="21"/>
        </w:rPr>
        <w:t>在“处理状态”下拉框选择：全部 / 已处理 / 未处理。</w:t>
      </w:r>
    </w:p>
    <w:p w14:paraId="1A15CA39"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>第 3 步　</w:t>
      </w:r>
      <w:r>
        <w:rPr>
          <w:rFonts w:ascii="微软雅黑" w:hAnsi="微软雅黑" w:eastAsia="微软雅黑"/>
          <w:b w:val="0"/>
          <w:sz w:val="21"/>
        </w:rPr>
        <w:t>点击“查询”按钮，表格显示符合条件的记录（每页 20 条）。</w:t>
      </w:r>
    </w:p>
    <w:p w14:paraId="4FC16CC2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右上角“刷新”按钮用于重新加载当前列表。</w:t>
      </w:r>
    </w:p>
    <w:p w14:paraId="7BEEBF27">
      <w:pPr>
        <w:pStyle w:val="4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5.2　记录列表各列含义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45D05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003399"/>
          </w:tcPr>
          <w:p w14:paraId="54D5AF13">
            <w:pPr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列名</w:t>
            </w:r>
          </w:p>
        </w:tc>
        <w:tc>
          <w:tcPr>
            <w:tcW w:w="6123" w:type="dxa"/>
            <w:shd w:val="clear" w:color="auto" w:fill="003399"/>
          </w:tcPr>
          <w:p w14:paraId="3DE8EAE3">
            <w:pPr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 w14:paraId="3D50E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0535531E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ID</w:t>
            </w:r>
          </w:p>
        </w:tc>
        <w:tc>
          <w:tcPr>
            <w:tcW w:w="6123" w:type="dxa"/>
          </w:tcPr>
          <w:p w14:paraId="6FFB24FD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记录编号</w:t>
            </w:r>
          </w:p>
        </w:tc>
      </w:tr>
      <w:tr w14:paraId="63AEE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2F7FC"/>
          </w:tcPr>
          <w:p w14:paraId="2D67A1FC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检测时间</w:t>
            </w:r>
          </w:p>
        </w:tc>
        <w:tc>
          <w:tcPr>
            <w:tcW w:w="6123" w:type="dxa"/>
            <w:shd w:val="clear" w:color="auto" w:fill="F2F7FC"/>
          </w:tcPr>
          <w:p w14:paraId="0B4A8239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检测发生的时刻</w:t>
            </w:r>
          </w:p>
        </w:tc>
      </w:tr>
      <w:tr w14:paraId="76E16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5FD01456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铁水重量 / 铁水温度</w:t>
            </w:r>
          </w:p>
        </w:tc>
        <w:tc>
          <w:tcPr>
            <w:tcW w:w="6123" w:type="dxa"/>
          </w:tcPr>
          <w:p w14:paraId="7C9AEC3E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本次检测的重量与温度</w:t>
            </w:r>
          </w:p>
        </w:tc>
      </w:tr>
      <w:tr w14:paraId="5FF39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2F7FC"/>
          </w:tcPr>
          <w:p w14:paraId="6E010D48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球化开始/结束时间</w:t>
            </w:r>
          </w:p>
        </w:tc>
        <w:tc>
          <w:tcPr>
            <w:tcW w:w="6123" w:type="dxa"/>
            <w:shd w:val="clear" w:color="auto" w:fill="F2F7FC"/>
          </w:tcPr>
          <w:p w14:paraId="0CDA1555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球化反应起止时刻</w:t>
            </w:r>
          </w:p>
        </w:tc>
      </w:tr>
      <w:tr w14:paraId="6B0DC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0B7CE16B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进线开始/结束时间</w:t>
            </w:r>
          </w:p>
        </w:tc>
        <w:tc>
          <w:tcPr>
            <w:tcW w:w="6123" w:type="dxa"/>
          </w:tcPr>
          <w:p w14:paraId="02CDB6E6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进线起止时刻</w:t>
            </w:r>
          </w:p>
        </w:tc>
      </w:tr>
      <w:tr w14:paraId="69639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2F7FC"/>
          </w:tcPr>
          <w:p w14:paraId="599C677B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标准/实际球化时长</w:t>
            </w:r>
          </w:p>
        </w:tc>
        <w:tc>
          <w:tcPr>
            <w:tcW w:w="6123" w:type="dxa"/>
            <w:shd w:val="clear" w:color="auto" w:fill="F2F7FC"/>
          </w:tcPr>
          <w:p w14:paraId="71F89E2D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“标准值 / 实际值”，判断是否达标的关键列</w:t>
            </w:r>
          </w:p>
        </w:tc>
      </w:tr>
      <w:tr w14:paraId="255C9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70FF7E54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实际进线时间</w:t>
            </w:r>
          </w:p>
        </w:tc>
        <w:tc>
          <w:tcPr>
            <w:tcW w:w="6123" w:type="dxa"/>
          </w:tcPr>
          <w:p w14:paraId="68731D00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进线总时长</w:t>
            </w:r>
          </w:p>
        </w:tc>
      </w:tr>
      <w:tr w14:paraId="3B31A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2F7FC"/>
          </w:tcPr>
          <w:p w14:paraId="3A52F262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检测结果</w:t>
            </w:r>
          </w:p>
        </w:tc>
        <w:tc>
          <w:tcPr>
            <w:tcW w:w="6123" w:type="dxa"/>
            <w:shd w:val="clear" w:color="auto" w:fill="F2F7FC"/>
          </w:tcPr>
          <w:p w14:paraId="1A10A237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机器判定：正常 / 异常</w:t>
            </w:r>
          </w:p>
        </w:tc>
      </w:tr>
      <w:tr w14:paraId="43359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582EDC22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复核状态</w:t>
            </w:r>
          </w:p>
        </w:tc>
        <w:tc>
          <w:tcPr>
            <w:tcW w:w="6123" w:type="dxa"/>
          </w:tcPr>
          <w:p w14:paraId="09981B66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最近一次人工复核的结论；为空表示还没有人复核过</w:t>
            </w:r>
          </w:p>
        </w:tc>
      </w:tr>
      <w:tr w14:paraId="0E7BC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2F7FC"/>
          </w:tcPr>
          <w:p w14:paraId="53E95D4F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处理状态</w:t>
            </w:r>
          </w:p>
        </w:tc>
        <w:tc>
          <w:tcPr>
            <w:tcW w:w="6123" w:type="dxa"/>
            <w:shd w:val="clear" w:color="auto" w:fill="F2F7FC"/>
          </w:tcPr>
          <w:p w14:paraId="6E4F89E8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未处理（橙色）/ 已处理（绿色）</w:t>
            </w:r>
          </w:p>
        </w:tc>
      </w:tr>
      <w:tr w14:paraId="0E255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40DE74AD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操作</w:t>
            </w:r>
          </w:p>
        </w:tc>
        <w:tc>
          <w:tcPr>
            <w:tcW w:w="6123" w:type="dxa"/>
          </w:tcPr>
          <w:p w14:paraId="56F13B2D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“查看详情”进入详情页</w:t>
            </w:r>
          </w:p>
        </w:tc>
      </w:tr>
    </w:tbl>
    <w:p w14:paraId="2F1C1833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列表底部有分页：上一页 / 第 X / Y 页，共 N 条 / 下一页。</w:t>
      </w:r>
    </w:p>
    <w:p w14:paraId="08373E8A">
      <w:pPr>
        <w:pStyle w:val="4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5.3　新增球化记录（仅用于特殊情况补录）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1"/>
      </w:tblGrid>
      <w:tr w14:paraId="3325F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1" w:type="dxa"/>
            <w:shd w:val="clear" w:color="auto" w:fill="FDECEC"/>
          </w:tcPr>
          <w:p w14:paraId="0F888DA3">
            <w:pPr>
              <w:spacing w:before="80" w:after="40" w:line="240" w:lineRule="auto"/>
            </w:pPr>
            <w:r>
              <w:rPr>
                <w:rFonts w:ascii="微软雅黑" w:hAnsi="微软雅黑" w:eastAsia="微软雅黑"/>
                <w:b/>
                <w:color w:val="C62828"/>
                <w:sz w:val="20"/>
              </w:rPr>
              <w:t>重要：非必要不要新增：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系统的球化检测记录正常由上游检测模块自动推送生成，操作人员一般不需要手工新增，“新增记录”只用于检测模块未自动推送、确需补录的特殊情况。随意新增会形成重复记录，影响统计准确性和质量追溯；补录前请先确认该记录确实不存在，并填写真实完整的检测数据。</w:t>
            </w:r>
          </w:p>
        </w:tc>
      </w:tr>
    </w:tbl>
    <w:p w14:paraId="28840412">
      <w:pPr>
        <w:spacing w:before="0" w:after="40" w:line="324" w:lineRule="auto"/>
      </w:pPr>
    </w:p>
    <w:p w14:paraId="409247A6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点击右上角“新增记录”按钮，会展开一张“新增球化记录”表单（见图 4）。</w:t>
      </w:r>
    </w:p>
    <w:p w14:paraId="72E1EFFE">
      <w:pPr>
        <w:spacing w:before="120" w:after="40"/>
        <w:jc w:val="center"/>
      </w:pPr>
      <w:r>
        <w:drawing>
          <wp:inline distT="0" distB="0" distL="114300" distR="114300">
            <wp:extent cx="5543550" cy="3849370"/>
            <wp:effectExtent l="0" t="0" r="635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8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785E9">
      <w:pPr>
        <w:spacing w:after="200"/>
        <w:jc w:val="center"/>
      </w:pPr>
      <w:r>
        <w:rPr>
          <w:rFonts w:ascii="微软雅黑" w:hAnsi="微软雅黑" w:eastAsia="微软雅黑"/>
          <w:b w:val="0"/>
          <w:color w:val="777777"/>
          <w:sz w:val="18"/>
        </w:rPr>
        <w:t>图 4　新增球化记录表单（各输入项、机器判定异常勾选、球化图片选择）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70674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003399"/>
          </w:tcPr>
          <w:p w14:paraId="42F42D5D">
            <w:pPr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w="5896" w:type="dxa"/>
            <w:shd w:val="clear" w:color="auto" w:fill="003399"/>
          </w:tcPr>
          <w:p w14:paraId="722F11F0">
            <w:pPr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30F7E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1DF310FD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检测时间</w:t>
            </w:r>
          </w:p>
        </w:tc>
        <w:tc>
          <w:tcPr>
            <w:tcW w:w="5896" w:type="dxa"/>
          </w:tcPr>
          <w:p w14:paraId="61B8D762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本次检测发生的日期时间，如 2026-09-06 18:00:00</w:t>
            </w:r>
          </w:p>
        </w:tc>
      </w:tr>
      <w:tr w14:paraId="3CC70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2F7FC"/>
          </w:tcPr>
          <w:p w14:paraId="42555C95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球化开始时间 / 结束时间</w:t>
            </w:r>
          </w:p>
        </w:tc>
        <w:tc>
          <w:tcPr>
            <w:tcW w:w="5896" w:type="dxa"/>
            <w:shd w:val="clear" w:color="auto" w:fill="F2F7FC"/>
          </w:tcPr>
          <w:p w14:paraId="19ABA112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球化反应起止时刻</w:t>
            </w:r>
          </w:p>
        </w:tc>
      </w:tr>
      <w:tr w14:paraId="52D73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06868F1B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实际球化时间</w:t>
            </w:r>
          </w:p>
        </w:tc>
        <w:tc>
          <w:tcPr>
            <w:tcW w:w="5896" w:type="dxa"/>
          </w:tcPr>
          <w:p w14:paraId="7903058A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本次实际球化反应时长（秒）</w:t>
            </w:r>
          </w:p>
        </w:tc>
      </w:tr>
      <w:tr w14:paraId="42B40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2F7FC"/>
          </w:tcPr>
          <w:p w14:paraId="7A435C0A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球化温度 / 测温时间</w:t>
            </w:r>
          </w:p>
        </w:tc>
        <w:tc>
          <w:tcPr>
            <w:tcW w:w="5896" w:type="dxa"/>
            <w:shd w:val="clear" w:color="auto" w:fill="F2F7FC"/>
          </w:tcPr>
          <w:p w14:paraId="01A5244E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铁水温度（℃）及测温时刻</w:t>
            </w:r>
          </w:p>
        </w:tc>
      </w:tr>
      <w:tr w14:paraId="6F687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535B6AB6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进线开始/结束时间</w:t>
            </w:r>
          </w:p>
        </w:tc>
        <w:tc>
          <w:tcPr>
            <w:tcW w:w="5896" w:type="dxa"/>
          </w:tcPr>
          <w:p w14:paraId="1A544BCF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进线起止时刻</w:t>
            </w:r>
          </w:p>
        </w:tc>
      </w:tr>
      <w:tr w14:paraId="36256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2F7FC"/>
          </w:tcPr>
          <w:p w14:paraId="6C5C2437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进线总时长</w:t>
            </w:r>
          </w:p>
        </w:tc>
        <w:tc>
          <w:tcPr>
            <w:tcW w:w="5896" w:type="dxa"/>
            <w:shd w:val="clear" w:color="auto" w:fill="F2F7FC"/>
          </w:tcPr>
          <w:p w14:paraId="0710A4C1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进线总时长（秒）</w:t>
            </w:r>
          </w:p>
        </w:tc>
      </w:tr>
      <w:tr w14:paraId="67408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3BA5D35B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球化重量</w:t>
            </w:r>
          </w:p>
        </w:tc>
        <w:tc>
          <w:tcPr>
            <w:tcW w:w="5896" w:type="dxa"/>
          </w:tcPr>
          <w:p w14:paraId="7E66BE1B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铁水重量</w:t>
            </w:r>
          </w:p>
        </w:tc>
      </w:tr>
      <w:tr w14:paraId="1F6E9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2F7FC"/>
          </w:tcPr>
          <w:p w14:paraId="23856C3D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机器判定异常</w:t>
            </w:r>
          </w:p>
        </w:tc>
        <w:tc>
          <w:tcPr>
            <w:tcW w:w="5896" w:type="dxa"/>
            <w:shd w:val="clear" w:color="auto" w:fill="F2F7FC"/>
          </w:tcPr>
          <w:p w14:paraId="4E9D71FF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若机器判定为异常，勾选此项</w:t>
            </w:r>
          </w:p>
        </w:tc>
      </w:tr>
      <w:tr w14:paraId="64D46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1D4DACAF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球化图片（JPG）</w:t>
            </w:r>
          </w:p>
        </w:tc>
        <w:tc>
          <w:tcPr>
            <w:tcW w:w="5896" w:type="dxa"/>
          </w:tcPr>
          <w:p w14:paraId="436B69B3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点“选择 JPG 文件”上传检测图片，选中后可预览、可“清除图片”</w:t>
            </w:r>
          </w:p>
        </w:tc>
      </w:tr>
    </w:tbl>
    <w:p w14:paraId="68013CE2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填写完成后点击“提交记录”。新记录会立即出现在列表第一页，并自动保存创建时生效的检测标准快照（标准快照机制见第 8 章）。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1"/>
      </w:tblGrid>
      <w:tr w14:paraId="45496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1" w:type="dxa"/>
            <w:shd w:val="clear" w:color="auto" w:fill="EFF6FF"/>
          </w:tcPr>
          <w:p w14:paraId="325BDA82">
            <w:pPr>
              <w:spacing w:before="80" w:after="40" w:line="240" w:lineRule="auto"/>
            </w:pPr>
            <w:r>
              <w:rPr>
                <w:rFonts w:ascii="微软雅黑" w:hAnsi="微软雅黑" w:eastAsia="微软雅黑"/>
                <w:b/>
                <w:color w:val="003399"/>
                <w:sz w:val="20"/>
              </w:rPr>
              <w:t>注意：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球化图片只支持 JPG 格式，选择其他格式会提示“请选择有效的 JPG 图片”。“机器判定异常”勾选后，该记录会出现在“异常记录”页面。</w:t>
            </w:r>
          </w:p>
        </w:tc>
      </w:tr>
    </w:tbl>
    <w:p w14:paraId="268FEA5E">
      <w:pPr>
        <w:spacing w:before="0" w:after="40" w:line="324" w:lineRule="auto"/>
      </w:pPr>
    </w:p>
    <w:p w14:paraId="2DF0462D">
      <w:pPr>
        <w:pStyle w:val="3"/>
        <w:spacing w:before="320" w:after="160"/>
      </w:pPr>
      <w:r>
        <w:rPr>
          <w:rFonts w:ascii="微软雅黑" w:hAnsi="微软雅黑" w:eastAsia="微软雅黑"/>
          <w:b/>
          <w:color w:val="003399"/>
          <w:sz w:val="32"/>
        </w:rPr>
        <w:t>6　异常记录</w:t>
      </w:r>
    </w:p>
    <w:p w14:paraId="26F845B6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“异常记录”页面与“球化记录”页面布局相同，区别是：它自动只筛选出机器判定为“异常”的记录（“检测结果”条件固定为“异常”，不可修改）。</w:t>
      </w:r>
    </w:p>
    <w:p w14:paraId="5F68025C">
      <w:pPr>
        <w:spacing w:before="120" w:after="40"/>
        <w:jc w:val="center"/>
      </w:pPr>
      <w:r>
        <w:drawing>
          <wp:inline distT="0" distB="0" distL="114300" distR="114300">
            <wp:extent cx="5543550" cy="3849370"/>
            <wp:effectExtent l="0" t="0" r="6350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8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FA875">
      <w:pPr>
        <w:spacing w:after="200"/>
        <w:jc w:val="center"/>
      </w:pPr>
      <w:r>
        <w:rPr>
          <w:rFonts w:ascii="微软雅黑" w:hAnsi="微软雅黑" w:eastAsia="微软雅黑"/>
          <w:b w:val="0"/>
          <w:color w:val="777777"/>
          <w:sz w:val="18"/>
        </w:rPr>
        <w:t>图 5　异常记录页面（自动只列出异常记录）</w:t>
      </w:r>
    </w:p>
    <w:p w14:paraId="164FB785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日常处理异常的标准动作：</w:t>
      </w:r>
    </w:p>
    <w:p w14:paraId="4C04F12E"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>第 1 步　</w:t>
      </w:r>
      <w:r>
        <w:rPr>
          <w:rFonts w:ascii="微软雅黑" w:hAnsi="微软雅黑" w:eastAsia="微软雅黑"/>
          <w:b w:val="0"/>
          <w:sz w:val="21"/>
        </w:rPr>
        <w:t>进入“异常记录”页面，找到“未处理”的异常记录。</w:t>
      </w:r>
    </w:p>
    <w:p w14:paraId="548A5163"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>第 2 步　</w:t>
      </w:r>
      <w:r>
        <w:rPr>
          <w:rFonts w:ascii="微软雅黑" w:hAnsi="微软雅黑" w:eastAsia="微软雅黑"/>
          <w:b w:val="0"/>
          <w:sz w:val="21"/>
        </w:rPr>
        <w:t>点击“查看详情”，查看球化亮光分析曲线和机器检测结果（第 7 章）。</w:t>
      </w:r>
    </w:p>
    <w:p w14:paraId="4DB62820"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>第 3 步　</w:t>
      </w:r>
      <w:r>
        <w:rPr>
          <w:rFonts w:ascii="微软雅黑" w:hAnsi="微软雅黑" w:eastAsia="微软雅黑"/>
          <w:b w:val="0"/>
          <w:sz w:val="21"/>
        </w:rPr>
        <w:t>需要人工确认时填写“人工复核”（复核结论、复核人、复核说明）。</w:t>
      </w:r>
    </w:p>
    <w:p w14:paraId="04199777"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>第 4 步　</w:t>
      </w:r>
      <w:r>
        <w:rPr>
          <w:rFonts w:ascii="微软雅黑" w:hAnsi="微软雅黑" w:eastAsia="微软雅黑"/>
          <w:b w:val="0"/>
          <w:sz w:val="21"/>
        </w:rPr>
        <w:t>确认处置完成后填写处理人，点击“标记为已处理”。</w:t>
      </w:r>
    </w:p>
    <w:p w14:paraId="0578850E"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>第 5 步　</w:t>
      </w:r>
      <w:r>
        <w:rPr>
          <w:rFonts w:ascii="微软雅黑" w:hAnsi="微软雅黑" w:eastAsia="微软雅黑"/>
          <w:b w:val="0"/>
          <w:sz w:val="21"/>
        </w:rPr>
        <w:t>回到“异常记录”页面或首页，确认该记录已变为“已处理”。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1"/>
      </w:tblGrid>
      <w:tr w14:paraId="1D916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1" w:type="dxa"/>
            <w:shd w:val="clear" w:color="auto" w:fill="EFF6FF"/>
          </w:tcPr>
          <w:p w14:paraId="3B6DA7D4">
            <w:pPr>
              <w:spacing w:before="80" w:after="40" w:line="240" w:lineRule="auto"/>
            </w:pPr>
            <w:r>
              <w:rPr>
                <w:rFonts w:ascii="微软雅黑" w:hAnsi="微软雅黑" w:eastAsia="微软雅黑"/>
                <w:b/>
                <w:color w:val="003399"/>
                <w:sz w:val="20"/>
              </w:rPr>
              <w:t>提示：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顶部导航栏也有“异常记录”入口，点击可直达本页，适合班中快速查看。</w:t>
            </w:r>
          </w:p>
        </w:tc>
      </w:tr>
    </w:tbl>
    <w:p w14:paraId="1464D08D">
      <w:pPr>
        <w:spacing w:before="0" w:after="40" w:line="324" w:lineRule="auto"/>
      </w:pPr>
    </w:p>
    <w:p w14:paraId="016B9E98">
      <w:pPr>
        <w:pStyle w:val="3"/>
        <w:spacing w:before="320" w:after="160"/>
      </w:pPr>
      <w:r>
        <w:rPr>
          <w:rFonts w:ascii="微软雅黑" w:hAnsi="微软雅黑" w:eastAsia="微软雅黑"/>
          <w:b/>
          <w:color w:val="003399"/>
          <w:sz w:val="32"/>
        </w:rPr>
        <w:t>7　球化记录详情：复核与处理</w:t>
      </w:r>
    </w:p>
    <w:p w14:paraId="729AF67A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在任意列表（球化记录、异常记录、首页最近记录）中点击“查看详情”，进入对应记录的详情页。详情页从上到下分为 4 个区块：</w:t>
      </w:r>
    </w:p>
    <w:p w14:paraId="68BBAD77">
      <w:pPr>
        <w:spacing w:before="120" w:after="40"/>
        <w:jc w:val="center"/>
      </w:pPr>
      <w:r>
        <w:drawing>
          <wp:inline distT="0" distB="0" distL="114300" distR="114300">
            <wp:extent cx="5543550" cy="3849370"/>
            <wp:effectExtent l="0" t="0" r="6350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8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6B7C974">
      <w:pPr>
        <w:spacing w:after="200"/>
        <w:jc w:val="center"/>
        <w:rPr>
          <w:rFonts w:ascii="微软雅黑" w:hAnsi="微软雅黑" w:eastAsia="微软雅黑"/>
          <w:b w:val="0"/>
          <w:color w:val="777777"/>
          <w:sz w:val="18"/>
        </w:rPr>
      </w:pPr>
      <w:r>
        <w:drawing>
          <wp:inline distT="0" distB="0" distL="114300" distR="114300">
            <wp:extent cx="5612130" cy="3456940"/>
            <wp:effectExtent l="0" t="0" r="1270" b="1016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CF79F">
      <w:pPr>
        <w:spacing w:after="200"/>
        <w:jc w:val="center"/>
        <w:rPr>
          <w:rFonts w:ascii="微软雅黑" w:hAnsi="微软雅黑" w:eastAsia="微软雅黑"/>
          <w:b w:val="0"/>
          <w:color w:val="777777"/>
          <w:sz w:val="18"/>
        </w:rPr>
      </w:pPr>
      <w:r>
        <w:rPr>
          <w:rFonts w:ascii="微软雅黑" w:hAnsi="微软雅黑" w:eastAsia="微软雅黑"/>
          <w:b w:val="0"/>
          <w:color w:val="777777"/>
          <w:sz w:val="18"/>
        </w:rPr>
        <w:t>图 6　球化记录详情页（球化亮光分析曲线、基本信息、机器检测结果、复核与处理）</w:t>
      </w:r>
    </w:p>
    <w:p w14:paraId="4A2744F1">
      <w:pPr>
        <w:spacing w:after="200"/>
        <w:jc w:val="center"/>
        <w:rPr>
          <w:rFonts w:ascii="微软雅黑" w:hAnsi="微软雅黑" w:eastAsia="微软雅黑"/>
          <w:b w:val="0"/>
          <w:color w:val="777777"/>
          <w:sz w:val="18"/>
        </w:rPr>
      </w:pPr>
    </w:p>
    <w:p w14:paraId="374DFFFE">
      <w:pPr>
        <w:pStyle w:val="4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7.1　球化亮光分析曲线</w:t>
      </w:r>
    </w:p>
    <w:p w14:paraId="4A3D2003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详情页最上方显示该记录对应的“球化亮光分析曲线”图片——由检测系统根据铁水表面亮度变化生成的反应曲线，是判断球化是否充分的主要依据。若该记录没有上传图片，则显示“无照片”。</w:t>
      </w:r>
    </w:p>
    <w:p w14:paraId="378E4DAA">
      <w:pPr>
        <w:pStyle w:val="4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7.2　基本信息与机器检测结果</w:t>
      </w:r>
    </w:p>
    <w:p w14:paraId="050C5C50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“基本信息”区块显示 6 个时间字段：</w:t>
      </w:r>
    </w:p>
    <w:p w14:paraId="05265396">
      <w:pPr>
        <w:spacing w:after="60" w:line="312" w:lineRule="auto"/>
        <w:ind w:left="283"/>
      </w:pPr>
      <w:r>
        <w:rPr>
          <w:rFonts w:ascii="微软雅黑" w:hAnsi="微软雅黑" w:eastAsia="微软雅黑"/>
          <w:b w:val="0"/>
          <w:color w:val="0050B3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检测时间、球化开始时间、球化结束时间、进线开始时间、进线结束时间、测温时间。</w:t>
      </w:r>
    </w:p>
    <w:p w14:paraId="37B39C27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“机器检测结果”区块显示机器判定的结论（正常 / 异常）以及关键数值：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10811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003399"/>
          </w:tcPr>
          <w:p w14:paraId="15437B7D">
            <w:pPr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w="5896" w:type="dxa"/>
            <w:shd w:val="clear" w:color="auto" w:fill="003399"/>
          </w:tcPr>
          <w:p w14:paraId="40E3EEBA">
            <w:pPr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 w14:paraId="07322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138A0FAF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机器检测结果</w:t>
            </w:r>
          </w:p>
        </w:tc>
        <w:tc>
          <w:tcPr>
            <w:tcW w:w="5896" w:type="dxa"/>
          </w:tcPr>
          <w:p w14:paraId="40477040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机器自动判定的结论（绿色“正常” / 红色“异常”）</w:t>
            </w:r>
          </w:p>
        </w:tc>
      </w:tr>
      <w:tr w14:paraId="42568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2F7FC"/>
          </w:tcPr>
          <w:p w14:paraId="298192B6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实际球化时间</w:t>
            </w:r>
          </w:p>
        </w:tc>
        <w:tc>
          <w:tcPr>
            <w:tcW w:w="5896" w:type="dxa"/>
            <w:shd w:val="clear" w:color="auto" w:fill="F2F7FC"/>
          </w:tcPr>
          <w:p w14:paraId="2D9537FA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本次实际反应时长</w:t>
            </w:r>
          </w:p>
        </w:tc>
      </w:tr>
      <w:tr w14:paraId="413B9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7E0A97FD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标准球化时间</w:t>
            </w:r>
          </w:p>
        </w:tc>
        <w:tc>
          <w:tcPr>
            <w:tcW w:w="5896" w:type="dxa"/>
          </w:tcPr>
          <w:p w14:paraId="172CAF75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检测当时生效的标准值（快照，不会随标准调整变化）</w:t>
            </w:r>
          </w:p>
        </w:tc>
      </w:tr>
      <w:tr w14:paraId="70047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2F7FC"/>
          </w:tcPr>
          <w:p w14:paraId="494FE2AB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球化异常</w:t>
            </w:r>
          </w:p>
        </w:tc>
        <w:tc>
          <w:tcPr>
            <w:tcW w:w="5896" w:type="dxa"/>
            <w:shd w:val="clear" w:color="auto" w:fill="F2F7FC"/>
          </w:tcPr>
          <w:p w14:paraId="3B03FB89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机器对球化环节的异常判断</w:t>
            </w:r>
          </w:p>
        </w:tc>
      </w:tr>
      <w:tr w14:paraId="0D2C0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322BB2F7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实际进线时间</w:t>
            </w:r>
          </w:p>
        </w:tc>
        <w:tc>
          <w:tcPr>
            <w:tcW w:w="5896" w:type="dxa"/>
          </w:tcPr>
          <w:p w14:paraId="61EB0044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进线总时长</w:t>
            </w:r>
          </w:p>
        </w:tc>
      </w:tr>
      <w:tr w14:paraId="7E7D8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2F7FC"/>
          </w:tcPr>
          <w:p w14:paraId="610E6429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铁水重量 / 温度</w:t>
            </w:r>
          </w:p>
        </w:tc>
        <w:tc>
          <w:tcPr>
            <w:tcW w:w="5896" w:type="dxa"/>
            <w:shd w:val="clear" w:color="auto" w:fill="F2F7FC"/>
          </w:tcPr>
          <w:p w14:paraId="6430B960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本次检测的重量与温度</w:t>
            </w:r>
          </w:p>
        </w:tc>
      </w:tr>
    </w:tbl>
    <w:p w14:paraId="25A39739">
      <w:pPr>
        <w:spacing w:after="120" w:line="324" w:lineRule="auto"/>
      </w:pPr>
      <w:r>
        <w:rPr>
          <w:rFonts w:ascii="微软雅黑" w:hAnsi="微软雅黑" w:eastAsia="微软雅黑"/>
          <w:b/>
          <w:color w:val="C62828"/>
          <w:sz w:val="21"/>
        </w:rPr>
        <w:t>重要规则：</w:t>
      </w:r>
      <w:r>
        <w:rPr>
          <w:rFonts w:ascii="微软雅黑" w:hAnsi="微软雅黑" w:eastAsia="微软雅黑"/>
          <w:b w:val="0"/>
          <w:sz w:val="21"/>
        </w:rPr>
        <w:t>机器检测结果一经产生就永久保留，任何人工操作（包括复核）都不能修改它。</w:t>
      </w:r>
    </w:p>
    <w:p w14:paraId="4E691360">
      <w:pPr>
        <w:pStyle w:val="4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7.3　人工复核</w:t>
      </w:r>
    </w:p>
    <w:p w14:paraId="1254CDCA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“人工复核”区块分两部分：</w:t>
      </w:r>
    </w:p>
    <w:p w14:paraId="53FD3C4C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（1）复核记录列表：按时间列出该记录的全部复核，每条包含复核结论（正常/异常）、复核人、复核时间和复核说明。</w:t>
      </w:r>
    </w:p>
    <w:p w14:paraId="02C7D264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（2）新增复核表单：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09AE2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003399"/>
          </w:tcPr>
          <w:p w14:paraId="3FD6AB32">
            <w:pPr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w="6350" w:type="dxa"/>
            <w:shd w:val="clear" w:color="auto" w:fill="003399"/>
          </w:tcPr>
          <w:p w14:paraId="77F7D8CD">
            <w:pPr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7AC49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1FBA7473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复核结果</w:t>
            </w:r>
          </w:p>
        </w:tc>
        <w:tc>
          <w:tcPr>
            <w:tcW w:w="6350" w:type="dxa"/>
          </w:tcPr>
          <w:p w14:paraId="00E78E9A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下拉选择：正常 / 异常</w:t>
            </w:r>
          </w:p>
        </w:tc>
      </w:tr>
      <w:tr w14:paraId="64BAD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7FC"/>
          </w:tcPr>
          <w:p w14:paraId="4B1C12A1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复核人</w:t>
            </w:r>
          </w:p>
        </w:tc>
        <w:tc>
          <w:tcPr>
            <w:tcW w:w="6350" w:type="dxa"/>
            <w:shd w:val="clear" w:color="auto" w:fill="F2F7FC"/>
          </w:tcPr>
          <w:p w14:paraId="3F95D20D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填写复核人姓名（必填，不填会提示“请输入复核人”）</w:t>
            </w:r>
          </w:p>
        </w:tc>
      </w:tr>
      <w:tr w14:paraId="00581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42A096CE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复核说明</w:t>
            </w:r>
          </w:p>
        </w:tc>
        <w:tc>
          <w:tcPr>
            <w:tcW w:w="6350" w:type="dxa"/>
          </w:tcPr>
          <w:p w14:paraId="3F9B7A12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填写判断依据或原因（必填，不填会提示“请输入复核说明”）</w:t>
            </w:r>
          </w:p>
        </w:tc>
      </w:tr>
      <w:tr w14:paraId="2E158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7FC"/>
          </w:tcPr>
          <w:p w14:paraId="3723D18C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提交复核</w:t>
            </w:r>
          </w:p>
        </w:tc>
        <w:tc>
          <w:tcPr>
            <w:tcW w:w="6350" w:type="dxa"/>
            <w:shd w:val="clear" w:color="auto" w:fill="F2F7FC"/>
          </w:tcPr>
          <w:p w14:paraId="3F68FC84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点击后复核记录立即生效，刷新页面可见</w:t>
            </w:r>
          </w:p>
        </w:tc>
      </w:tr>
      <w:tr w14:paraId="0EA47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31" w:type="dxa"/>
            <w:gridSpan w:val="2"/>
            <w:shd w:val="clear" w:color="auto" w:fill="EFF6FF"/>
          </w:tcPr>
          <w:p w14:paraId="3E405B21">
            <w:pPr>
              <w:spacing w:before="80" w:after="40" w:line="240" w:lineRule="auto"/>
            </w:pPr>
            <w:r>
              <w:rPr>
                <w:rFonts w:ascii="微软雅黑" w:hAnsi="微软雅黑" w:eastAsia="微软雅黑"/>
                <w:b/>
                <w:color w:val="003399"/>
                <w:sz w:val="20"/>
              </w:rPr>
              <w:t>说明：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同一条记录可以多次复核，历史复核记录都会保留，不会被覆盖。复核结论只记录在“复核状态”列，不影响“检测结果”列。</w:t>
            </w:r>
          </w:p>
        </w:tc>
      </w:tr>
    </w:tbl>
    <w:p w14:paraId="3439092C">
      <w:pPr>
        <w:spacing w:before="0" w:after="40" w:line="324" w:lineRule="auto"/>
      </w:pPr>
    </w:p>
    <w:p w14:paraId="5FD299DD">
      <w:pPr>
        <w:spacing w:before="0" w:after="40" w:line="324" w:lineRule="auto"/>
      </w:pPr>
    </w:p>
    <w:p w14:paraId="5887B3A0">
      <w:pPr>
        <w:pStyle w:val="4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7.4　处理状态与“标记为已处理”</w:t>
      </w:r>
    </w:p>
    <w:p w14:paraId="68B2E304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页面最下方是“处理状态”区块：</w:t>
      </w:r>
    </w:p>
    <w:p w14:paraId="33C394BA">
      <w:pPr>
        <w:spacing w:after="60" w:line="312" w:lineRule="auto"/>
        <w:ind w:left="283"/>
      </w:pPr>
      <w:r>
        <w:rPr>
          <w:rFonts w:ascii="微软雅黑" w:hAnsi="微软雅黑" w:eastAsia="微软雅黑"/>
          <w:b w:val="0"/>
          <w:color w:val="0050B3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未处理：显示输入框和“标记为已处理”按钮。填写处理人后点击按钮，记录立即变为“已处理”，并自动记录处理时间。</w:t>
      </w:r>
    </w:p>
    <w:p w14:paraId="442EA818">
      <w:pPr>
        <w:spacing w:after="60" w:line="312" w:lineRule="auto"/>
        <w:ind w:left="283"/>
      </w:pPr>
      <w:r>
        <w:rPr>
          <w:rFonts w:ascii="微软雅黑" w:hAnsi="微软雅黑" w:eastAsia="微软雅黑"/>
          <w:b w:val="0"/>
          <w:color w:val="0050B3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已处理：显示处理人和处理时间，不再显示按钮。</w:t>
      </w:r>
    </w:p>
    <w:p w14:paraId="1061DEC9">
      <w:pPr>
        <w:spacing w:before="120" w:after="40"/>
        <w:jc w:val="center"/>
      </w:pPr>
      <w:r>
        <w:drawing>
          <wp:inline distT="0" distB="0" distL="114300" distR="114300">
            <wp:extent cx="5969000" cy="2557145"/>
            <wp:effectExtent l="0" t="0" r="0" b="825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255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9C61F">
      <w:pPr>
        <w:spacing w:after="200"/>
        <w:jc w:val="center"/>
      </w:pPr>
      <w:r>
        <w:rPr>
          <w:rFonts w:ascii="微软雅黑" w:hAnsi="微软雅黑" w:eastAsia="微软雅黑"/>
          <w:b w:val="0"/>
          <w:color w:val="777777"/>
          <w:sz w:val="18"/>
        </w:rPr>
        <w:t>图 7　已处理的异常记录详情（含人工复核记录与处理信息）</w:t>
      </w:r>
    </w:p>
    <w:p w14:paraId="44470AB1">
      <w:pPr>
        <w:spacing w:before="120" w:after="40"/>
        <w:jc w:val="center"/>
      </w:pPr>
      <w:r>
        <w:drawing>
          <wp:inline distT="0" distB="0" distL="114300" distR="114300">
            <wp:extent cx="5958840" cy="2576195"/>
            <wp:effectExtent l="0" t="0" r="10160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257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C9F10">
      <w:pPr>
        <w:spacing w:after="200"/>
        <w:jc w:val="center"/>
      </w:pPr>
      <w:r>
        <w:rPr>
          <w:rFonts w:ascii="微软雅黑" w:hAnsi="微软雅黑" w:eastAsia="微软雅黑"/>
          <w:b w:val="0"/>
          <w:color w:val="777777"/>
          <w:sz w:val="18"/>
        </w:rPr>
        <w:t>图 8　未处理记录详情（可填写处理人并“标记为已处理”）</w:t>
      </w:r>
    </w:p>
    <w:p w14:paraId="25F03516">
      <w:pPr>
        <w:spacing w:after="120" w:line="324" w:lineRule="auto"/>
      </w:pPr>
      <w:r>
        <w:rPr>
          <w:rFonts w:ascii="微软雅黑" w:hAnsi="微软雅黑" w:eastAsia="微软雅黑"/>
          <w:b/>
          <w:color w:val="C62828"/>
          <w:sz w:val="21"/>
        </w:rPr>
        <w:t>重要规则：</w:t>
      </w:r>
      <w:r>
        <w:rPr>
          <w:rFonts w:ascii="微软雅黑" w:hAnsi="微软雅黑" w:eastAsia="微软雅黑"/>
          <w:b w:val="0"/>
          <w:sz w:val="21"/>
        </w:rPr>
        <w:t>“标记为已处理”是一次性操作，不可回退。点击前请务必确认该异常已实际处置完成。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1"/>
      </w:tblGrid>
      <w:tr w14:paraId="19F23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1" w:type="dxa"/>
            <w:shd w:val="clear" w:color="auto" w:fill="EFF6FF"/>
          </w:tcPr>
          <w:p w14:paraId="0424AE8B">
            <w:pPr>
              <w:spacing w:before="80" w:after="40" w:line="240" w:lineRule="auto"/>
            </w:pPr>
            <w:r>
              <w:rPr>
                <w:rFonts w:ascii="微软雅黑" w:hAnsi="微软雅黑" w:eastAsia="微软雅黑"/>
                <w:b/>
                <w:color w:val="003399"/>
                <w:sz w:val="20"/>
              </w:rPr>
              <w:t>说明：</w:t>
            </w:r>
            <w:r>
              <w:rPr>
                <w:rFonts w:ascii="微软雅黑" w:hAnsi="微软雅黑" w:eastAsia="微软雅黑"/>
                <w:b w:val="0"/>
                <w:sz w:val="20"/>
              </w:rPr>
              <w:t>“复核”和“处理”是两件独立的事：复核了不一定代表已处理，处理了也不一定复核过。两者互不依赖、互不覆盖。</w:t>
            </w:r>
          </w:p>
        </w:tc>
      </w:tr>
    </w:tbl>
    <w:p w14:paraId="4C424EBC">
      <w:pPr>
        <w:spacing w:before="0" w:after="40" w:line="324" w:lineRule="auto"/>
      </w:pPr>
    </w:p>
    <w:p w14:paraId="1F97C2CF">
      <w:pPr>
        <w:pStyle w:val="3"/>
        <w:spacing w:before="320" w:after="160"/>
      </w:pPr>
      <w:r>
        <w:rPr>
          <w:rFonts w:ascii="微软雅黑" w:hAnsi="微软雅黑" w:eastAsia="微软雅黑"/>
          <w:b/>
          <w:color w:val="003399"/>
          <w:sz w:val="32"/>
        </w:rPr>
        <w:t>8　检测标准管理</w:t>
      </w:r>
    </w:p>
    <w:p w14:paraId="55C8C1A1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“检测标准”页面用于维护判定球化是否达标的标准值，分三个区块（见图 9）。</w:t>
      </w:r>
    </w:p>
    <w:p w14:paraId="22AD4E2B">
      <w:pPr>
        <w:spacing w:before="120" w:after="40"/>
        <w:jc w:val="center"/>
      </w:pPr>
      <w:r>
        <w:drawing>
          <wp:inline distT="0" distB="0" distL="114300" distR="114300">
            <wp:extent cx="5543550" cy="3849370"/>
            <wp:effectExtent l="0" t="0" r="6350" b="11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8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948DB">
      <w:pPr>
        <w:spacing w:after="200"/>
        <w:jc w:val="center"/>
      </w:pPr>
      <w:r>
        <w:rPr>
          <w:rFonts w:ascii="微软雅黑" w:hAnsi="微软雅黑" w:eastAsia="微软雅黑"/>
          <w:b w:val="0"/>
          <w:color w:val="777777"/>
          <w:sz w:val="18"/>
        </w:rPr>
        <w:t>图 9　检测标准管理页面（当前生效标准、标准记录、新增标准表单）</w:t>
      </w:r>
    </w:p>
    <w:p w14:paraId="04E60369">
      <w:pPr>
        <w:pStyle w:val="4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8.1　查看当前生效标准</w:t>
      </w:r>
    </w:p>
    <w:p w14:paraId="78F42E9E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“当前生效标准”区块显示正在使用的标准：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642CE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003399"/>
          </w:tcPr>
          <w:p w14:paraId="292733BA">
            <w:pPr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w="5896" w:type="dxa"/>
            <w:shd w:val="clear" w:color="auto" w:fill="003399"/>
          </w:tcPr>
          <w:p w14:paraId="38E01EAE">
            <w:pPr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 w14:paraId="35D98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18D54EC6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球化时间标准</w:t>
            </w:r>
          </w:p>
        </w:tc>
        <w:tc>
          <w:tcPr>
            <w:tcW w:w="5896" w:type="dxa"/>
          </w:tcPr>
          <w:p w14:paraId="0AE5347E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标准球化反应时长（秒）</w:t>
            </w:r>
          </w:p>
        </w:tc>
      </w:tr>
      <w:tr w14:paraId="46DEA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2F7FC"/>
          </w:tcPr>
          <w:p w14:paraId="0AACE34B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球化时间下限 / 上限</w:t>
            </w:r>
          </w:p>
        </w:tc>
        <w:tc>
          <w:tcPr>
            <w:tcW w:w="5896" w:type="dxa"/>
            <w:shd w:val="clear" w:color="auto" w:fill="F2F7FC"/>
          </w:tcPr>
          <w:p w14:paraId="7E76AF97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允许的波动范围；“未设置”表示该方向没有限制</w:t>
            </w:r>
          </w:p>
        </w:tc>
      </w:tr>
      <w:tr w14:paraId="10A66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208FECA8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称重标准</w:t>
            </w:r>
          </w:p>
        </w:tc>
        <w:tc>
          <w:tcPr>
            <w:tcW w:w="5896" w:type="dxa"/>
          </w:tcPr>
          <w:p w14:paraId="62A75F71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铁水称重标准值</w:t>
            </w:r>
          </w:p>
        </w:tc>
      </w:tr>
      <w:tr w14:paraId="79C70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2F7FC"/>
          </w:tcPr>
          <w:p w14:paraId="4F4C1CF4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创建时间 / 创建人</w:t>
            </w:r>
          </w:p>
        </w:tc>
        <w:tc>
          <w:tcPr>
            <w:tcW w:w="5896" w:type="dxa"/>
            <w:shd w:val="clear" w:color="auto" w:fill="F2F7FC"/>
          </w:tcPr>
          <w:p w14:paraId="0F1B12D6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该标准的创建信息与负责人</w:t>
            </w:r>
          </w:p>
        </w:tc>
      </w:tr>
      <w:tr w14:paraId="6BB7C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1DBEC2F2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备注</w:t>
            </w:r>
          </w:p>
        </w:tc>
        <w:tc>
          <w:tcPr>
            <w:tcW w:w="5896" w:type="dxa"/>
          </w:tcPr>
          <w:p w14:paraId="52B4B649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调整原因或说明</w:t>
            </w:r>
          </w:p>
        </w:tc>
      </w:tr>
    </w:tbl>
    <w:p w14:paraId="1A0CC50C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页面右上角有“刷新”按钮；当前标准永远是“最新创建”或“最近应用”的那一条。</w:t>
      </w:r>
    </w:p>
    <w:p w14:paraId="76E40AC0">
      <w:pPr>
        <w:pStyle w:val="4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8.2　应用历史标准</w:t>
      </w:r>
    </w:p>
    <w:p w14:paraId="3DBB5CFF"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>第 1 步　</w:t>
      </w:r>
      <w:r>
        <w:rPr>
          <w:rFonts w:ascii="微软雅黑" w:hAnsi="微软雅黑" w:eastAsia="微软雅黑"/>
          <w:b w:val="0"/>
          <w:sz w:val="21"/>
        </w:rPr>
        <w:t>在“标准记录”表格中找到要恢复使用的历史标准（当前标准显示为灰色“当前标准”按钮）。</w:t>
      </w:r>
    </w:p>
    <w:p w14:paraId="4FF343AA"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>第 2 步　</w:t>
      </w:r>
      <w:r>
        <w:rPr>
          <w:rFonts w:ascii="微软雅黑" w:hAnsi="微软雅黑" w:eastAsia="微软雅黑"/>
          <w:b w:val="0"/>
          <w:sz w:val="21"/>
        </w:rPr>
        <w:t>点击该行的“应用标准”按钮。</w:t>
      </w:r>
    </w:p>
    <w:p w14:paraId="48651282"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>第 3 步　</w:t>
      </w:r>
      <w:r>
        <w:rPr>
          <w:rFonts w:ascii="微软雅黑" w:hAnsi="微软雅黑" w:eastAsia="微软雅黑"/>
          <w:b w:val="0"/>
          <w:sz w:val="21"/>
        </w:rPr>
        <w:t>弹出确认框：“应用后只影响之后创建的球化记录，历史记录不会改变。确认应用该标准吗？”</w:t>
      </w:r>
    </w:p>
    <w:p w14:paraId="44B674AC"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>第 4 步　</w:t>
      </w:r>
      <w:r>
        <w:rPr>
          <w:rFonts w:ascii="微软雅黑" w:hAnsi="微软雅黑" w:eastAsia="微软雅黑"/>
          <w:b w:val="0"/>
          <w:sz w:val="21"/>
        </w:rPr>
        <w:t>点击“确定”后，该标准立即成为当前生效标准。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1"/>
      </w:tblGrid>
      <w:tr w14:paraId="4E711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1" w:type="dxa"/>
            <w:shd w:val="clear" w:color="auto" w:fill="EFF6FF"/>
          </w:tcPr>
          <w:p w14:paraId="5738B892">
            <w:pPr>
              <w:spacing w:before="80" w:after="40" w:line="240" w:lineRule="auto"/>
            </w:pPr>
            <w:r>
              <w:rPr>
                <w:rFonts w:ascii="微软雅黑" w:hAnsi="微软雅黑" w:eastAsia="微软雅黑"/>
                <w:b/>
                <w:color w:val="003399"/>
                <w:sz w:val="20"/>
              </w:rPr>
              <w:t>说明：</w:t>
            </w:r>
            <w:r>
              <w:rPr>
                <w:rFonts w:ascii="微软雅黑" w:hAnsi="微软雅黑" w:eastAsia="微软雅黑"/>
                <w:b w:val="0"/>
                <w:sz w:val="20"/>
              </w:rPr>
              <w:t>“应用标准”只是把当前生效的标准切换回某个历史版本，所有历史标准都会保留，随时可以再次切换。</w:t>
            </w:r>
          </w:p>
        </w:tc>
      </w:tr>
    </w:tbl>
    <w:p w14:paraId="7D1D7AF3">
      <w:pPr>
        <w:spacing w:before="0" w:after="40" w:line="324" w:lineRule="auto"/>
      </w:pPr>
    </w:p>
    <w:p w14:paraId="01B5CBD9">
      <w:pPr>
        <w:pStyle w:val="4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8.3　新增检测标准</w:t>
      </w:r>
    </w:p>
    <w:p w14:paraId="5E549D39"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>第 1 步　</w:t>
      </w:r>
      <w:r>
        <w:rPr>
          <w:rFonts w:ascii="微软雅黑" w:hAnsi="微软雅黑" w:eastAsia="微软雅黑"/>
          <w:b w:val="0"/>
          <w:sz w:val="21"/>
        </w:rPr>
        <w:t>在“新增检测标准”表单中填写：球化时间标准、球化时间下限、球化时间上限、称重标准。</w:t>
      </w:r>
    </w:p>
    <w:p w14:paraId="6E6A0F2B"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>第 2 步　</w:t>
      </w:r>
      <w:r>
        <w:rPr>
          <w:rFonts w:ascii="微软雅黑" w:hAnsi="微软雅黑" w:eastAsia="微软雅黑"/>
          <w:b w:val="0"/>
          <w:sz w:val="21"/>
        </w:rPr>
        <w:t>填写创建人，并在备注中说明调整原因（便于日后追溯）。</w:t>
      </w:r>
    </w:p>
    <w:p w14:paraId="4E93B7CA"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>第 3 步　</w:t>
      </w:r>
      <w:r>
        <w:rPr>
          <w:rFonts w:ascii="微软雅黑" w:hAnsi="微软雅黑" w:eastAsia="微软雅黑"/>
          <w:b w:val="0"/>
          <w:sz w:val="21"/>
        </w:rPr>
        <w:t>点击“创建标准”。新标准立即成为当前生效标准，并加入“标准记录”表格。</w:t>
      </w:r>
    </w:p>
    <w:p w14:paraId="0C9F8685">
      <w:pPr>
        <w:pStyle w:val="4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8.4　标准快照机制（重要）</w:t>
      </w:r>
    </w:p>
    <w:p w14:paraId="33699C53">
      <w:pPr>
        <w:spacing w:after="80" w:line="324" w:lineRule="auto"/>
      </w:pPr>
      <w:r>
        <w:rPr>
          <w:rFonts w:ascii="微软雅黑" w:hAnsi="微软雅黑" w:eastAsia="微软雅黑"/>
          <w:b w:val="0"/>
          <w:sz w:val="21"/>
        </w:rPr>
        <w:t>每一条球化检测记录在创建时，都会把当时的标准值“拍照”保存（标准快照）。</w:t>
      </w:r>
    </w:p>
    <w:p w14:paraId="1EDF6D4B">
      <w:pPr>
        <w:spacing w:after="60" w:line="312" w:lineRule="auto"/>
        <w:ind w:left="283"/>
      </w:pPr>
      <w:r>
        <w:rPr>
          <w:rFonts w:ascii="微软雅黑" w:hAnsi="微软雅黑" w:eastAsia="微软雅黑"/>
          <w:b w:val="0"/>
          <w:color w:val="0050B3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之后无论标准怎么调整，历史记录里显示的“标准球化时间”永远是检测当时的值；</w:t>
      </w:r>
    </w:p>
    <w:p w14:paraId="046FB14D">
      <w:pPr>
        <w:spacing w:after="60" w:line="312" w:lineRule="auto"/>
        <w:ind w:left="283"/>
      </w:pPr>
      <w:r>
        <w:rPr>
          <w:rFonts w:ascii="微软雅黑" w:hAnsi="微软雅黑" w:eastAsia="微软雅黑"/>
          <w:b w:val="0"/>
          <w:color w:val="0050B3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新标准只对之后新产生的记录生效；</w:t>
      </w:r>
    </w:p>
    <w:p w14:paraId="2DD3E60C">
      <w:pPr>
        <w:spacing w:after="60" w:line="312" w:lineRule="auto"/>
        <w:ind w:left="283"/>
      </w:pPr>
      <w:r>
        <w:rPr>
          <w:rFonts w:ascii="微软雅黑" w:hAnsi="微软雅黑" w:eastAsia="微软雅黑"/>
          <w:b w:val="0"/>
          <w:color w:val="0050B3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因此“标准/实际球化时长”这一列的对比结果永远可信，不会事后变化。</w:t>
      </w:r>
    </w:p>
    <w:p w14:paraId="5DD76C63">
      <w:pPr>
        <w:pStyle w:val="3"/>
        <w:spacing w:before="320" w:after="160"/>
      </w:pPr>
      <w:r>
        <w:rPr>
          <w:rFonts w:ascii="微软雅黑" w:hAnsi="微软雅黑" w:eastAsia="微软雅黑"/>
          <w:b/>
          <w:color w:val="003399"/>
          <w:sz w:val="32"/>
        </w:rPr>
        <w:t>9　常用业务流程</w:t>
      </w:r>
    </w:p>
    <w:p w14:paraId="29655A42">
      <w:pPr>
        <w:pStyle w:val="4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9.1　流程一：班中巡检</w:t>
      </w:r>
    </w:p>
    <w:p w14:paraId="79C78D7E"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>第 1 步　</w:t>
      </w:r>
      <w:r>
        <w:rPr>
          <w:rFonts w:ascii="微软雅黑" w:hAnsi="微软雅黑" w:eastAsia="微软雅黑"/>
          <w:b w:val="0"/>
          <w:sz w:val="21"/>
        </w:rPr>
        <w:t>打开“浇注工位监控”页面，查看两个摄像头画面是否正常。</w:t>
      </w:r>
    </w:p>
    <w:p w14:paraId="47A17E08"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>第 2 步　</w:t>
      </w:r>
      <w:r>
        <w:rPr>
          <w:rFonts w:ascii="微软雅黑" w:hAnsi="微软雅黑" w:eastAsia="微软雅黑"/>
          <w:b w:val="0"/>
          <w:sz w:val="21"/>
        </w:rPr>
        <w:t>查看最新 5 条检测数据，重点看“球化结果”列和底部状态栏。</w:t>
      </w:r>
    </w:p>
    <w:p w14:paraId="7DAA4A66"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>第 3 步　</w:t>
      </w:r>
      <w:r>
        <w:rPr>
          <w:rFonts w:ascii="微软雅黑" w:hAnsi="微软雅黑" w:eastAsia="微软雅黑"/>
          <w:b w:val="0"/>
          <w:sz w:val="21"/>
        </w:rPr>
        <w:t>发现“异常”且“待处理”的记录，按流程二处理。</w:t>
      </w:r>
    </w:p>
    <w:p w14:paraId="61447256">
      <w:pPr>
        <w:pStyle w:val="4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9.2　流程二：处理一条异常记录</w:t>
      </w:r>
    </w:p>
    <w:p w14:paraId="71E2D1C4"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>第 1 步　</w:t>
      </w:r>
      <w:r>
        <w:rPr>
          <w:rFonts w:ascii="微软雅黑" w:hAnsi="微软雅黑" w:eastAsia="微软雅黑"/>
          <w:b w:val="0"/>
          <w:sz w:val="21"/>
        </w:rPr>
        <w:t>进入“异常记录”页面，找到待处理记录，点击“查看详情”。</w:t>
      </w:r>
    </w:p>
    <w:p w14:paraId="4B284376"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>第 2 步　</w:t>
      </w:r>
      <w:r>
        <w:rPr>
          <w:rFonts w:ascii="微软雅黑" w:hAnsi="微软雅黑" w:eastAsia="微软雅黑"/>
          <w:b w:val="0"/>
          <w:sz w:val="21"/>
        </w:rPr>
        <w:t>查看“球化亮光分析曲线”和机器检测结果，判断异常原因。</w:t>
      </w:r>
    </w:p>
    <w:p w14:paraId="6C714220"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>第 3 步　</w:t>
      </w:r>
      <w:r>
        <w:rPr>
          <w:rFonts w:ascii="微软雅黑" w:hAnsi="微软雅黑" w:eastAsia="微软雅黑"/>
          <w:b w:val="0"/>
          <w:sz w:val="21"/>
        </w:rPr>
        <w:t>填写人工复核：复核结论、复核人、复核说明，点击“提交复核”。</w:t>
      </w:r>
    </w:p>
    <w:p w14:paraId="5769C872"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>第 4 步　</w:t>
      </w:r>
      <w:r>
        <w:rPr>
          <w:rFonts w:ascii="微软雅黑" w:hAnsi="微软雅黑" w:eastAsia="微软雅黑"/>
          <w:b w:val="0"/>
          <w:sz w:val="21"/>
        </w:rPr>
        <w:t>现场处置完成后，填写处理人，点击“标记为已处理”。</w:t>
      </w:r>
    </w:p>
    <w:p w14:paraId="3FA34F2C"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>第 5 步　</w:t>
      </w:r>
      <w:r>
        <w:rPr>
          <w:rFonts w:ascii="微软雅黑" w:hAnsi="微软雅黑" w:eastAsia="微软雅黑"/>
          <w:b w:val="0"/>
          <w:sz w:val="21"/>
        </w:rPr>
        <w:t>在首页统计卡片确认“未处理”数量减少、“已处理”增加。</w:t>
      </w:r>
    </w:p>
    <w:p w14:paraId="6A2B7467">
      <w:pPr>
        <w:pStyle w:val="4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9.3　流程三：调整检测标准</w:t>
      </w:r>
    </w:p>
    <w:p w14:paraId="0BCA49B3"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>第 1 步　</w:t>
      </w:r>
      <w:r>
        <w:rPr>
          <w:rFonts w:ascii="微软雅黑" w:hAnsi="微软雅黑" w:eastAsia="微软雅黑"/>
          <w:b w:val="0"/>
          <w:sz w:val="21"/>
        </w:rPr>
        <w:t>工艺变更时，进入“检测标准”页面。</w:t>
      </w:r>
    </w:p>
    <w:p w14:paraId="0C64F95E"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>第 2 步　</w:t>
      </w:r>
      <w:r>
        <w:rPr>
          <w:rFonts w:ascii="微软雅黑" w:hAnsi="微软雅黑" w:eastAsia="微软雅黑"/>
          <w:b w:val="0"/>
          <w:sz w:val="21"/>
        </w:rPr>
        <w:t>填写“新增检测标准”表单并“创建标准”（立即生效），或在“标准记录”中“应用标准”切回旧版本。</w:t>
      </w:r>
    </w:p>
    <w:p w14:paraId="53019021"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>第 3 步　</w:t>
      </w:r>
      <w:r>
        <w:rPr>
          <w:rFonts w:ascii="微软雅黑" w:hAnsi="微软雅黑" w:eastAsia="微软雅黑"/>
          <w:b w:val="0"/>
          <w:sz w:val="21"/>
        </w:rPr>
        <w:t>检查“当前生效标准”区块，确认数值与生效时间无误。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1"/>
      </w:tblGrid>
      <w:tr w14:paraId="4A677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1" w:type="dxa"/>
            <w:shd w:val="clear" w:color="auto" w:fill="EFF6FF"/>
          </w:tcPr>
          <w:p w14:paraId="4859A40E">
            <w:pPr>
              <w:spacing w:before="80" w:after="40" w:line="240" w:lineRule="auto"/>
            </w:pPr>
            <w:r>
              <w:rPr>
                <w:rFonts w:ascii="微软雅黑" w:hAnsi="微软雅黑" w:eastAsia="微软雅黑"/>
                <w:b/>
                <w:color w:val="003399"/>
                <w:sz w:val="20"/>
              </w:rPr>
              <w:t>说明：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标准调整不需要重启系统，创建或应用后立即对新记录生效；历史记录的快照不受影响。</w:t>
            </w:r>
          </w:p>
        </w:tc>
      </w:tr>
    </w:tbl>
    <w:p w14:paraId="2F7A30E1">
      <w:pPr>
        <w:spacing w:before="0" w:after="40" w:line="324" w:lineRule="auto"/>
      </w:pPr>
    </w:p>
    <w:p w14:paraId="1EC7C9F4">
      <w:pPr>
        <w:pStyle w:val="3"/>
        <w:spacing w:before="320" w:after="160"/>
      </w:pPr>
      <w:r>
        <w:rPr>
          <w:rFonts w:ascii="微软雅黑" w:hAnsi="微软雅黑" w:eastAsia="微软雅黑"/>
          <w:b/>
          <w:color w:val="003399"/>
          <w:sz w:val="32"/>
        </w:rPr>
        <w:t>10　常见问题（FAQ）</w:t>
      </w:r>
    </w:p>
    <w:p w14:paraId="60CC3E54">
      <w:pPr>
        <w:spacing w:before="120" w:after="40"/>
      </w:pPr>
      <w:r>
        <w:rPr>
          <w:rFonts w:ascii="微软雅黑" w:hAnsi="微软雅黑" w:eastAsia="微软雅黑"/>
          <w:b/>
          <w:sz w:val="21"/>
        </w:rPr>
        <w:t>问：检测记录需要我手工录入吗？</w:t>
      </w:r>
    </w:p>
    <w:p w14:paraId="439231B0">
      <w:pPr>
        <w:spacing w:after="80" w:line="324" w:lineRule="auto"/>
        <w:ind w:left="283"/>
      </w:pPr>
      <w:r>
        <w:rPr>
          <w:rFonts w:ascii="微软雅黑" w:hAnsi="微软雅黑" w:eastAsia="微软雅黑"/>
          <w:b w:val="0"/>
          <w:sz w:val="21"/>
        </w:rPr>
        <w:t>答：不需要。检测记录正常由上游检测模块自动推送生成；只有在检测模块未推送、确需补录时，才用“新增记录”手工补录。非必要不要新增，以免产生重复记录、影响统计与质量追溯。</w:t>
      </w:r>
    </w:p>
    <w:p w14:paraId="5E73B1F6">
      <w:pPr>
        <w:spacing w:before="120" w:after="40"/>
      </w:pPr>
      <w:r>
        <w:rPr>
          <w:rFonts w:ascii="微软雅黑" w:hAnsi="微软雅黑" w:eastAsia="微软雅黑"/>
          <w:b/>
          <w:sz w:val="21"/>
        </w:rPr>
        <w:t>问：页面右上角显示“系统离线”或一直“连接中”？</w:t>
      </w:r>
    </w:p>
    <w:p w14:paraId="2EED07AE">
      <w:pPr>
        <w:spacing w:after="80" w:line="324" w:lineRule="auto"/>
        <w:ind w:left="283"/>
      </w:pPr>
      <w:r>
        <w:rPr>
          <w:rFonts w:ascii="微软雅黑" w:hAnsi="微软雅黑" w:eastAsia="微软雅黑"/>
          <w:b w:val="0"/>
          <w:sz w:val="21"/>
        </w:rPr>
        <w:t>答：说明前端连不上后端服务（端口 8000）。请确认后端服务已启动、网络正常；也可以点击状态按钮重新检测。仍不行请联系系统管理员。</w:t>
      </w:r>
    </w:p>
    <w:p w14:paraId="02ACD641">
      <w:pPr>
        <w:spacing w:before="120" w:after="40"/>
      </w:pPr>
      <w:r>
        <w:rPr>
          <w:rFonts w:ascii="微软雅黑" w:hAnsi="微软雅黑" w:eastAsia="微软雅黑"/>
          <w:b/>
          <w:sz w:val="21"/>
        </w:rPr>
        <w:t>问：视频窗口显示“等待视频流接入”？</w:t>
      </w:r>
    </w:p>
    <w:p w14:paraId="443AF6EA">
      <w:pPr>
        <w:spacing w:after="80" w:line="324" w:lineRule="auto"/>
        <w:ind w:left="283"/>
      </w:pPr>
      <w:r>
        <w:rPr>
          <w:rFonts w:ascii="微软雅黑" w:hAnsi="微软雅黑" w:eastAsia="微软雅黑"/>
          <w:b w:val="0"/>
          <w:sz w:val="21"/>
        </w:rPr>
        <w:t>答：摄像头或视频流服务尚未上线。画面接入后窗口会自动显示实时视频，无需刷新或重启页面。</w:t>
      </w:r>
    </w:p>
    <w:p w14:paraId="35024E6B">
      <w:pPr>
        <w:spacing w:before="120" w:after="40"/>
      </w:pPr>
      <w:r>
        <w:rPr>
          <w:rFonts w:ascii="微软雅黑" w:hAnsi="微软雅黑" w:eastAsia="微软雅黑"/>
          <w:b/>
          <w:sz w:val="21"/>
        </w:rPr>
        <w:t>问：页面提示“无法连接后端服务”或“加载失败”？</w:t>
      </w:r>
    </w:p>
    <w:p w14:paraId="7233BB5D">
      <w:pPr>
        <w:spacing w:after="80" w:line="324" w:lineRule="auto"/>
        <w:ind w:left="283"/>
      </w:pPr>
      <w:r>
        <w:rPr>
          <w:rFonts w:ascii="微软雅黑" w:hAnsi="微软雅黑" w:eastAsia="微软雅黑"/>
          <w:b w:val="0"/>
          <w:sz w:val="21"/>
        </w:rPr>
        <w:t>答：后端服务未启动或地址配置错误。请系统管理员检查后端进程与代理配置。</w:t>
      </w:r>
    </w:p>
    <w:p w14:paraId="460DE3C3">
      <w:pPr>
        <w:spacing w:before="120" w:after="40"/>
      </w:pPr>
      <w:r>
        <w:rPr>
          <w:rFonts w:ascii="微软雅黑" w:hAnsi="微软雅黑" w:eastAsia="微软雅黑"/>
          <w:b/>
          <w:sz w:val="21"/>
        </w:rPr>
        <w:t>问：列表里某些列显示“--”是什么？</w:t>
      </w:r>
    </w:p>
    <w:p w14:paraId="783CE691">
      <w:pPr>
        <w:spacing w:after="80" w:line="324" w:lineRule="auto"/>
        <w:ind w:left="283"/>
      </w:pPr>
      <w:r>
        <w:rPr>
          <w:rFonts w:ascii="微软雅黑" w:hAnsi="微软雅黑" w:eastAsia="微软雅黑"/>
          <w:b w:val="0"/>
          <w:sz w:val="21"/>
        </w:rPr>
        <w:t>答：老记录没有采集这些字段时的占位显示，属于正常现象，不代表数据丢失。</w:t>
      </w:r>
    </w:p>
    <w:p w14:paraId="16C1078F">
      <w:pPr>
        <w:spacing w:before="120" w:after="40"/>
      </w:pPr>
      <w:r>
        <w:rPr>
          <w:rFonts w:ascii="微软雅黑" w:hAnsi="微软雅黑" w:eastAsia="微软雅黑"/>
          <w:b/>
          <w:sz w:val="21"/>
        </w:rPr>
        <w:t>问：人工复核能把“异常”改成“正常”吗？</w:t>
      </w:r>
    </w:p>
    <w:p w14:paraId="7581E355">
      <w:pPr>
        <w:spacing w:after="80" w:line="324" w:lineRule="auto"/>
        <w:ind w:left="283"/>
      </w:pPr>
      <w:r>
        <w:rPr>
          <w:rFonts w:ascii="微软雅黑" w:hAnsi="微软雅黑" w:eastAsia="微软雅黑"/>
          <w:b w:val="0"/>
          <w:sz w:val="21"/>
        </w:rPr>
        <w:t>答：不能。机器检测结果永久保留；复核结论单独保存在“复核状态”列，两者同时存在、互不覆盖。</w:t>
      </w:r>
    </w:p>
    <w:p w14:paraId="7396C1E5">
      <w:pPr>
        <w:spacing w:before="120" w:after="40"/>
      </w:pPr>
      <w:r>
        <w:rPr>
          <w:rFonts w:ascii="微软雅黑" w:hAnsi="微软雅黑" w:eastAsia="微软雅黑"/>
          <w:b/>
          <w:sz w:val="21"/>
        </w:rPr>
        <w:t>问：“标记为已处理”之后能撤销吗？</w:t>
      </w:r>
    </w:p>
    <w:p w14:paraId="55A4B8E8">
      <w:pPr>
        <w:spacing w:after="80" w:line="324" w:lineRule="auto"/>
        <w:ind w:left="283"/>
      </w:pPr>
      <w:r>
        <w:rPr>
          <w:rFonts w:ascii="微软雅黑" w:hAnsi="微软雅黑" w:eastAsia="微软雅黑"/>
          <w:b w:val="0"/>
          <w:sz w:val="21"/>
        </w:rPr>
        <w:t>答：不能。处理状态为一次性操作，不可回退，点击前请确认已实际处置。</w:t>
      </w:r>
    </w:p>
    <w:p w14:paraId="3CC1ADA0">
      <w:pPr>
        <w:spacing w:before="120" w:after="40"/>
      </w:pPr>
      <w:r>
        <w:rPr>
          <w:rFonts w:ascii="微软雅黑" w:hAnsi="微软雅黑" w:eastAsia="微软雅黑"/>
          <w:b/>
          <w:sz w:val="21"/>
        </w:rPr>
        <w:t>问：一条记录可以复核多次吗？</w:t>
      </w:r>
    </w:p>
    <w:p w14:paraId="2DDA525B">
      <w:pPr>
        <w:spacing w:after="80" w:line="324" w:lineRule="auto"/>
        <w:ind w:left="283"/>
      </w:pPr>
      <w:r>
        <w:rPr>
          <w:rFonts w:ascii="微软雅黑" w:hAnsi="微软雅黑" w:eastAsia="微软雅黑"/>
          <w:b w:val="0"/>
          <w:sz w:val="21"/>
        </w:rPr>
        <w:t>答：可以。每次复核都会新增一条复核记录，历史复核全部保留。</w:t>
      </w:r>
    </w:p>
    <w:p w14:paraId="0B32BC90">
      <w:pPr>
        <w:spacing w:before="120" w:after="40"/>
      </w:pPr>
      <w:r>
        <w:rPr>
          <w:rFonts w:ascii="微软雅黑" w:hAnsi="微软雅黑" w:eastAsia="微软雅黑"/>
          <w:b/>
          <w:sz w:val="21"/>
        </w:rPr>
        <w:t>问：新创建/应用的标准会影响历史记录吗？</w:t>
      </w:r>
    </w:p>
    <w:p w14:paraId="5D2FEA5D">
      <w:pPr>
        <w:spacing w:after="80" w:line="324" w:lineRule="auto"/>
        <w:ind w:left="283"/>
      </w:pPr>
      <w:r>
        <w:rPr>
          <w:rFonts w:ascii="微软雅黑" w:hAnsi="微软雅黑" w:eastAsia="微软雅黑"/>
          <w:b w:val="0"/>
          <w:sz w:val="21"/>
        </w:rPr>
        <w:t>答：不会。历史记录保留检测当时的标准快照；标准调整只影响之后新产生的记录。</w:t>
      </w:r>
    </w:p>
    <w:p w14:paraId="53DC6B1D">
      <w:pPr>
        <w:spacing w:before="120" w:after="40"/>
      </w:pPr>
      <w:r>
        <w:rPr>
          <w:rFonts w:ascii="微软雅黑" w:hAnsi="微软雅黑" w:eastAsia="微软雅黑"/>
          <w:b/>
          <w:sz w:val="21"/>
        </w:rPr>
        <w:t>问：球化图片支持哪些格式？</w:t>
      </w:r>
    </w:p>
    <w:p w14:paraId="54411139">
      <w:pPr>
        <w:spacing w:after="80" w:line="324" w:lineRule="auto"/>
        <w:ind w:left="283"/>
      </w:pPr>
      <w:r>
        <w:rPr>
          <w:rFonts w:ascii="微软雅黑" w:hAnsi="微软雅黑" w:eastAsia="微软雅黑"/>
          <w:b w:val="0"/>
          <w:sz w:val="21"/>
        </w:rPr>
        <w:t>答：目前只支持 JPG（.jpg / .jpeg），其他格式会被拒绝并提示。</w:t>
      </w:r>
    </w:p>
    <w:p w14:paraId="180B4EC5">
      <w:pPr>
        <w:spacing w:before="120" w:after="40"/>
      </w:pPr>
      <w:r>
        <w:rPr>
          <w:rFonts w:ascii="微软雅黑" w:hAnsi="微软雅黑" w:eastAsia="微软雅黑"/>
          <w:b/>
          <w:sz w:val="21"/>
        </w:rPr>
        <w:t>问：“异常记录”页面和“球化记录”页面有什么区别？</w:t>
      </w:r>
    </w:p>
    <w:p w14:paraId="20CDEFB2">
      <w:pPr>
        <w:spacing w:after="80" w:line="324" w:lineRule="auto"/>
        <w:ind w:left="283"/>
      </w:pPr>
      <w:r>
        <w:rPr>
          <w:rFonts w:ascii="微软雅黑" w:hAnsi="微软雅黑" w:eastAsia="微软雅黑"/>
          <w:b w:val="0"/>
          <w:sz w:val="21"/>
        </w:rPr>
        <w:t>答：布局相同；区别是异常记录页自动只筛选机器判“异常”的记录，且“检测结果”条件不可修改。</w:t>
      </w:r>
    </w:p>
    <w:p w14:paraId="0622C31D">
      <w:pPr>
        <w:pStyle w:val="3"/>
        <w:spacing w:before="320" w:after="160"/>
      </w:pPr>
      <w:r>
        <w:rPr>
          <w:rFonts w:ascii="微软雅黑" w:hAnsi="微软雅黑" w:eastAsia="微软雅黑"/>
          <w:b/>
          <w:color w:val="003399"/>
          <w:sz w:val="32"/>
        </w:rPr>
        <w:t>11　附录：名词解释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1890A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003399"/>
          </w:tcPr>
          <w:p w14:paraId="3700DF10">
            <w:pPr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名词</w:t>
            </w:r>
          </w:p>
        </w:tc>
        <w:tc>
          <w:tcPr>
            <w:tcW w:w="6123" w:type="dxa"/>
            <w:shd w:val="clear" w:color="auto" w:fill="003399"/>
          </w:tcPr>
          <w:p w14:paraId="1ADFDE5D">
            <w:pPr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解释</w:t>
            </w:r>
          </w:p>
        </w:tc>
      </w:tr>
      <w:tr w14:paraId="60A20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56FD0079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球化</w:t>
            </w:r>
          </w:p>
        </w:tc>
        <w:tc>
          <w:tcPr>
            <w:tcW w:w="6123" w:type="dxa"/>
          </w:tcPr>
          <w:p w14:paraId="5883F16D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球化处理：改变铸铁中石墨形态的热处理工艺，使石墨呈球状分布，提高铸铁韧性</w:t>
            </w:r>
          </w:p>
        </w:tc>
      </w:tr>
      <w:tr w14:paraId="6B9B2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2F7FC"/>
          </w:tcPr>
          <w:p w14:paraId="2B18F12E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球化时间</w:t>
            </w:r>
          </w:p>
        </w:tc>
        <w:tc>
          <w:tcPr>
            <w:tcW w:w="6123" w:type="dxa"/>
            <w:shd w:val="clear" w:color="auto" w:fill="F2F7FC"/>
          </w:tcPr>
          <w:p w14:paraId="0E03C8FB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从球化反应开始到结束所经历的时间（秒）</w:t>
            </w:r>
          </w:p>
        </w:tc>
      </w:tr>
      <w:tr w14:paraId="51139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60B2C14C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标准球化时间</w:t>
            </w:r>
          </w:p>
        </w:tc>
        <w:tc>
          <w:tcPr>
            <w:tcW w:w="6123" w:type="dxa"/>
          </w:tcPr>
          <w:p w14:paraId="044624C0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工艺规定的标准球化时间，可设置上下限作为判定范围</w:t>
            </w:r>
          </w:p>
        </w:tc>
      </w:tr>
      <w:tr w14:paraId="52BF3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2F7FC"/>
          </w:tcPr>
          <w:p w14:paraId="5E7BB4AD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进线</w:t>
            </w:r>
          </w:p>
        </w:tc>
        <w:tc>
          <w:tcPr>
            <w:tcW w:w="6123" w:type="dxa"/>
            <w:shd w:val="clear" w:color="auto" w:fill="F2F7FC"/>
          </w:tcPr>
          <w:p w14:paraId="2F822375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球化剂进线（送线）过程，记录其开始/结束时刻与总时长</w:t>
            </w:r>
          </w:p>
        </w:tc>
      </w:tr>
      <w:tr w14:paraId="5F87B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27222B39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球化重量（铁水重量）</w:t>
            </w:r>
          </w:p>
        </w:tc>
        <w:tc>
          <w:tcPr>
            <w:tcW w:w="6123" w:type="dxa"/>
          </w:tcPr>
          <w:p w14:paraId="028D7A18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本次检测对应铁水的重量</w:t>
            </w:r>
          </w:p>
        </w:tc>
      </w:tr>
      <w:tr w14:paraId="7E079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2F7FC"/>
          </w:tcPr>
          <w:p w14:paraId="1BD5D9B4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球化温度（铁水温度）</w:t>
            </w:r>
          </w:p>
        </w:tc>
        <w:tc>
          <w:tcPr>
            <w:tcW w:w="6123" w:type="dxa"/>
            <w:shd w:val="clear" w:color="auto" w:fill="F2F7FC"/>
          </w:tcPr>
          <w:p w14:paraId="2DC993A6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检测时铁水的温度（℃）</w:t>
            </w:r>
          </w:p>
        </w:tc>
      </w:tr>
      <w:tr w14:paraId="4482A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3F05464B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球化亮光分析曲线</w:t>
            </w:r>
          </w:p>
        </w:tc>
        <w:tc>
          <w:tcPr>
            <w:tcW w:w="6123" w:type="dxa"/>
          </w:tcPr>
          <w:p w14:paraId="6A787874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检测系统根据铁水表面亮度变化生成的反应曲线图，用于判断球化效果</w:t>
            </w:r>
          </w:p>
        </w:tc>
      </w:tr>
      <w:tr w14:paraId="09A4C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2F7FC"/>
          </w:tcPr>
          <w:p w14:paraId="3CFF7779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标准快照</w:t>
            </w:r>
          </w:p>
        </w:tc>
        <w:tc>
          <w:tcPr>
            <w:tcW w:w="6123" w:type="dxa"/>
            <w:shd w:val="clear" w:color="auto" w:fill="F2F7FC"/>
          </w:tcPr>
          <w:p w14:paraId="1C5D1033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检测记录创建时自动保存的“当时标准值”，保证历史记录可追溯</w:t>
            </w:r>
          </w:p>
        </w:tc>
      </w:tr>
      <w:tr w14:paraId="39004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7FEB6AC8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人工复核</w:t>
            </w:r>
          </w:p>
        </w:tc>
        <w:tc>
          <w:tcPr>
            <w:tcW w:w="6123" w:type="dxa"/>
          </w:tcPr>
          <w:p w14:paraId="4A009943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人员对机器检测结果进行确认并记录结论的操作，与机器结果分开保存</w:t>
            </w:r>
          </w:p>
        </w:tc>
      </w:tr>
      <w:tr w14:paraId="36BC6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2F7FC"/>
          </w:tcPr>
          <w:p w14:paraId="1024D4B7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处理</w:t>
            </w:r>
          </w:p>
        </w:tc>
        <w:tc>
          <w:tcPr>
            <w:tcW w:w="6123" w:type="dxa"/>
            <w:shd w:val="clear" w:color="auto" w:fill="F2F7FC"/>
          </w:tcPr>
          <w:p w14:paraId="6C8EA54A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对异常记录完成实际处置后，在系统中“标记为已处理”（记录处理人与时间）</w:t>
            </w:r>
          </w:p>
        </w:tc>
      </w:tr>
    </w:tbl>
    <w:p w14:paraId="589AB21D">
      <w:pPr>
        <w:spacing w:before="0" w:after="200" w:line="324" w:lineRule="auto"/>
      </w:pPr>
    </w:p>
    <w:p w14:paraId="649E5FED">
      <w:pPr>
        <w:spacing w:before="0" w:after="120" w:line="324" w:lineRule="auto"/>
        <w:jc w:val="center"/>
      </w:pPr>
      <w:r>
        <w:rPr>
          <w:rFonts w:ascii="微软雅黑" w:hAnsi="微软雅黑" w:eastAsia="微软雅黑"/>
          <w:b w:val="0"/>
          <w:color w:val="777777"/>
          <w:sz w:val="20"/>
        </w:rPr>
        <w:t>—— 全文完 ——</w:t>
      </w:r>
    </w:p>
    <w:sectPr>
      <w:footerReference r:id="rId5" w:type="default"/>
      <w:pgSz w:w="11906" w:h="16838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92E7E8">
    <w:pPr>
      <w:pStyle w:val="24"/>
      <w:jc w:val="center"/>
    </w:pPr>
    <w:r>
      <w:rPr>
        <w:rFonts w:ascii="微软雅黑" w:hAnsi="微软雅黑" w:eastAsia="微软雅黑"/>
        <w:b w:val="0"/>
        <w:color w:val="777777"/>
        <w:sz w:val="18"/>
      </w:rPr>
      <w:t xml:space="preserve">AI球化检测系统用户培训手册（详细版）　·　第 </w:t>
    </w:r>
    <w:r>
      <w:rPr>
        <w:rFonts w:ascii="微软雅黑" w:hAnsi="微软雅黑" w:eastAsia="微软雅黑"/>
        <w:b w:val="0"/>
        <w:color w:val="777777"/>
        <w:sz w:val="18"/>
      </w:rPr>
      <w:fldChar w:fldCharType="begin"/>
    </w:r>
    <w:r>
      <w:rPr>
        <w:rFonts w:ascii="微软雅黑" w:hAnsi="微软雅黑" w:eastAsia="微软雅黑"/>
        <w:b w:val="0"/>
        <w:color w:val="777777"/>
        <w:sz w:val="18"/>
      </w:rPr>
      <w:instrText xml:space="preserve">PAGE</w:instrText>
    </w:r>
    <w:r>
      <w:rPr>
        <w:rFonts w:ascii="微软雅黑" w:hAnsi="微软雅黑" w:eastAsia="微软雅黑"/>
        <w:b w:val="0"/>
        <w:color w:val="777777"/>
        <w:sz w:val="18"/>
      </w:rPr>
      <w:fldChar w:fldCharType="end"/>
    </w:r>
    <w:r>
      <w:rPr>
        <w:rFonts w:ascii="微软雅黑" w:hAnsi="微软雅黑" w:eastAsia="微软雅黑"/>
        <w:b w:val="0"/>
        <w:color w:val="777777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013200C"/>
    <w:rsid w:val="41BA70A3"/>
    <w:rsid w:val="43A55671"/>
    <w:rsid w:val="44BA15F0"/>
    <w:rsid w:val="620B4624"/>
    <w:rsid w:val="6F457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6892</Words>
  <Characters>7133</Characters>
  <Lines>0</Lines>
  <Paragraphs>0</Paragraphs>
  <TotalTime>2</TotalTime>
  <ScaleCrop>false</ScaleCrop>
  <LinksUpToDate>false</LinksUpToDate>
  <CharactersWithSpaces>7454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2026-10-10T14:18:00Z</dcterms:created>
  <dc:creator>炁</dc:creator>
  <cp:lastModifiedBy>炁</cp:lastModifiedBy>
  <dcterms:modified xsi:type="dcterms:W3CDTF">2026-10-10T06:32:15Z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eyJoZGlkIjoiYjg3ZTkyODM0ZjNhY2U5N2RiYzBiMDZiMTM3N2IyNmUiLCJ1c2VySWQiOiIxNjMyOTc0NjYzIn0=</vt:lpwstr>
  </property>
  <property fmtid="{D5CDD505-2E9C-101B-9397-08002B2CF9AE}" pid="3" name="KSOProductBuildVer">
    <vt:lpwstr>2052-12.1.0.28505</vt:lpwstr>
  </property>
  <property fmtid="{D5CDD505-2E9C-101B-9397-08002B2CF9AE}" pid="4" name="ICV">
    <vt:lpwstr>5DB8B84B4BD448498514E63FD283BDCB_12</vt:lpwstr>
  </property>
</Properties>
</file>