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r>
        <w:rPr>
          <w:rFonts w:ascii="Cambria" w:cs="Cambria" w:eastAsia="Cambria" w:hAnsi="Cambria"/>
          <w:b/>
          <w:bCs/>
          <w:color w:val="1E2A38"/>
          <w:sz w:val="52"/>
          <w:szCs w:val="52"/>
        </w:rPr>
        <w:t xml:space="preserve">GTECH ANGELS PLATFORM</w:t>
      </w:r>
    </w:p>
    <w:p>
      <w:pPr>
        <w:spacing w:after="300"/>
      </w:pPr>
      <w:r>
        <w:rPr>
          <w:rFonts w:ascii="Calibri" w:cs="Calibri" w:eastAsia="Calibri" w:hAnsi="Calibri"/>
          <w:color w:val="028090"/>
          <w:sz w:val="30"/>
          <w:szCs w:val="30"/>
        </w:rPr>
        <w:t xml:space="preserve">Product Requirements Specification</w:t>
      </w:r>
    </w:p>
    <w:p>
      <w:pPr>
        <w:spacing w:after="160" w:line="276"/>
      </w:pPr>
      <w:r>
        <w:rPr>
          <w:rFonts w:ascii="Calibri" w:cs="Calibri" w:eastAsia="Calibri" w:hAnsi="Calibri"/>
          <w:b/>
          <w:bCs/>
          <w:color w:val="333333"/>
          <w:sz w:val="21"/>
          <w:szCs w:val="21"/>
        </w:rPr>
        <w:t xml:space="preserve">Version 1.0 (Draft for Core Team Review)</w:t>
      </w:r>
    </w:p>
    <w:p>
      <w:pPr>
        <w:spacing w:after="160" w:line="276"/>
      </w:pPr>
      <w:r>
        <w:rPr>
          <w:rFonts w:ascii="Calibri" w:cs="Calibri" w:eastAsia="Calibri" w:hAnsi="Calibri"/>
          <w:color w:val="333333"/>
          <w:sz w:val="21"/>
          <w:szCs w:val="21"/>
        </w:rPr>
        <w:t xml:space="preserve">Prepared by: Harish Mohan, Startup Engagement Focus Group Lead</w:t>
      </w:r>
    </w:p>
    <w:p>
      <w:pPr>
        <w:spacing w:after="160" w:line="276"/>
      </w:pPr>
      <w:r>
        <w:rPr>
          <w:rFonts w:ascii="Calibri" w:cs="Calibri" w:eastAsia="Calibri" w:hAnsi="Calibri"/>
          <w:color w:val="333333"/>
          <w:sz w:val="21"/>
          <w:szCs w:val="21"/>
        </w:rPr>
        <w:t xml:space="preserve">Audience: GTECH Angels Core Team, platform development partner</w:t>
      </w:r>
    </w:p>
    <w:p>
      <w:pPr>
        <w:spacing w:after="160" w:line="276"/>
      </w:pPr>
      <w:r>
        <w:rPr>
          <w:rFonts w:ascii="Calibri" w:cs="Calibri" w:eastAsia="Calibri" w:hAnsi="Calibri"/>
          <w:color w:val="333333"/>
          <w:sz w:val="21"/>
          <w:szCs w:val="21"/>
        </w:rPr>
        <w:t xml:space="preserve">Date: July 2026</w:t>
      </w:r>
    </w:p>
    <w:p>
      <w:pPr>
        <w:spacing w:after="160" w:line="276"/>
      </w:pPr>
      <w:r>
        <w:rPr>
          <w:rFonts w:ascii="Calibri" w:cs="Calibri" w:eastAsia="Calibri" w:hAnsi="Calibri"/>
          <w:i/>
          <w:iCs/>
          <w:color w:val="5B6B76"/>
          <w:sz w:val="21"/>
          <w:szCs w:val="21"/>
        </w:rPr>
        <w:t xml:space="preserve">Status: For review — open items are listed in Section 10 and must be closed before development begins.</w:t>
      </w:r>
    </w:p>
    <w:p>
      <w:r>
        <w:br w:type="page"/>
      </w:r>
    </w:p>
    <w:p>
      <w:pPr>
        <w:pStyle w:val="Heading1"/>
        <w:spacing w:after="200" w:before="360"/>
      </w:pPr>
      <w:r>
        <w:rPr>
          <w:rFonts w:ascii="Cambria" w:cs="Cambria" w:eastAsia="Cambria" w:hAnsi="Cambria"/>
          <w:b/>
          <w:bCs/>
          <w:color w:val="1E2A38"/>
          <w:sz w:val="30"/>
          <w:szCs w:val="30"/>
        </w:rPr>
        <w:t xml:space="preserve">1. Background &amp; Objectives</w:t>
      </w:r>
    </w:p>
    <w:p>
      <w:pPr>
        <w:spacing w:after="160" w:line="276"/>
      </w:pPr>
      <w:r>
        <w:rPr>
          <w:rFonts w:ascii="Calibri" w:cs="Calibri" w:eastAsia="Calibri" w:hAnsi="Calibri"/>
          <w:color w:val="333333"/>
          <w:sz w:val="21"/>
          <w:szCs w:val="21"/>
        </w:rPr>
        <w:t xml:space="preserve">GTECH Angels is the flagship initiative of the Startup Engagement Focus Group under the GTECH Executive Committee (2026–28). Its mission is to facilitate structured collaboration between Kerala’s startups and GTECH member companies across two pillars: investment and market access. Member companies and founders sign up declaring what they can offer — capital, customer introductions, channel partnerships — while startups onboard with complete, structured profiles. The platform is the system of record that makes these commitments visible, enables matching, and tracks outcomes.</w:t>
      </w:r>
    </w:p>
    <w:p>
      <w:pPr>
        <w:spacing w:after="160" w:line="276"/>
      </w:pPr>
      <w:r>
        <w:rPr>
          <w:rFonts w:ascii="Calibri" w:cs="Calibri" w:eastAsia="Calibri" w:hAnsi="Calibri"/>
          <w:color w:val="333333"/>
          <w:sz w:val="21"/>
          <w:szCs w:val="21"/>
        </w:rPr>
        <w:t xml:space="preserve">The programme’s success is measured by two headline KPIs: </w:t>
      </w:r>
      <w:r>
        <w:rPr>
          <w:rFonts w:ascii="Calibri" w:cs="Calibri" w:eastAsia="Calibri" w:hAnsi="Calibri"/>
          <w:b/>
          <w:bCs/>
          <w:color w:val="333333"/>
          <w:sz w:val="21"/>
          <w:szCs w:val="21"/>
        </w:rPr>
        <w:t xml:space="preserve">number of investments made</w:t>
      </w:r>
      <w:r>
        <w:rPr>
          <w:rFonts w:ascii="Calibri" w:cs="Calibri" w:eastAsia="Calibri" w:hAnsi="Calibri"/>
          <w:color w:val="333333"/>
          <w:sz w:val="21"/>
          <w:szCs w:val="21"/>
        </w:rPr>
        <w:t xml:space="preserve"> and </w:t>
      </w:r>
      <w:r>
        <w:rPr>
          <w:rFonts w:ascii="Calibri" w:cs="Calibri" w:eastAsia="Calibri" w:hAnsi="Calibri"/>
          <w:b/>
          <w:bCs/>
          <w:color w:val="333333"/>
          <w:sz w:val="21"/>
          <w:szCs w:val="21"/>
        </w:rPr>
        <w:t xml:space="preserve">number of market-access partnerships made</w:t>
      </w:r>
      <w:r>
        <w:rPr>
          <w:rFonts w:ascii="Calibri" w:cs="Calibri" w:eastAsia="Calibri" w:hAnsi="Calibri"/>
          <w:color w:val="333333"/>
          <w:sz w:val="21"/>
          <w:szCs w:val="21"/>
        </w:rPr>
        <w:t xml:space="preserve">. Every platform feature must ultimately serve one of these two numbers. Features that generate activity without contributing to either outcome are out of scope.</w:t>
      </w:r>
    </w:p>
    <w:p>
      <w:pPr>
        <w:pStyle w:val="Heading2"/>
        <w:spacing w:after="140" w:before="260"/>
      </w:pPr>
      <w:r>
        <w:rPr>
          <w:rFonts w:ascii="Cambria" w:cs="Cambria" w:eastAsia="Cambria" w:hAnsi="Cambria"/>
          <w:b/>
          <w:bCs/>
          <w:color w:val="028090"/>
          <w:sz w:val="24"/>
          <w:szCs w:val="24"/>
        </w:rPr>
        <w:t xml:space="preserve">1.1 Objectives</w:t>
      </w:r>
    </w:p>
    <w:p>
      <w:pPr>
        <w:pStyle w:val="ListParagraph"/>
        <w:numPr>
          <w:ilvl w:val="0"/>
          <w:numId w:val="2"/>
        </w:numPr>
        <w:spacing w:after="80" w:line="276"/>
      </w:pPr>
      <w:r>
        <w:rPr>
          <w:rFonts w:ascii="Calibri" w:cs="Calibri" w:eastAsia="Calibri" w:hAnsi="Calibri"/>
          <w:color w:val="333333"/>
          <w:sz w:val="21"/>
          <w:szCs w:val="21"/>
        </w:rPr>
        <w:t xml:space="preserve">Give angels and startups a single trusted place to declare, discover, and connect — replacing scattered WhatsApp threads and ad-hoc introductions.</w:t>
      </w:r>
    </w:p>
    <w:p>
      <w:pPr>
        <w:pStyle w:val="ListParagraph"/>
        <w:numPr>
          <w:ilvl w:val="0"/>
          <w:numId w:val="2"/>
        </w:numPr>
        <w:spacing w:after="80" w:line="276"/>
      </w:pPr>
      <w:r>
        <w:rPr>
          <w:rFonts w:ascii="Calibri" w:cs="Calibri" w:eastAsia="Calibri" w:hAnsi="Calibri"/>
          <w:color w:val="333333"/>
          <w:sz w:val="21"/>
          <w:szCs w:val="21"/>
        </w:rPr>
        <w:t xml:space="preserve">Make commitments explicit: each angel’s declared investment amount and market-access offer is captured at signup, not negotiated from scratch per deal.</w:t>
      </w:r>
    </w:p>
    <w:p>
      <w:pPr>
        <w:pStyle w:val="ListParagraph"/>
        <w:numPr>
          <w:ilvl w:val="0"/>
          <w:numId w:val="2"/>
        </w:numPr>
        <w:spacing w:after="80" w:line="276"/>
      </w:pPr>
      <w:r>
        <w:rPr>
          <w:rFonts w:ascii="Calibri" w:cs="Calibri" w:eastAsia="Calibri" w:hAnsi="Calibri"/>
          <w:color w:val="333333"/>
          <w:sz w:val="21"/>
          <w:szCs w:val="21"/>
        </w:rPr>
        <w:t xml:space="preserve">Enforce quality through screening: only startups approved against the screening scorecard become visible to angels.</w:t>
      </w:r>
    </w:p>
    <w:p>
      <w:pPr>
        <w:pStyle w:val="ListParagraph"/>
        <w:numPr>
          <w:ilvl w:val="0"/>
          <w:numId w:val="2"/>
        </w:numPr>
        <w:spacing w:after="80" w:line="276"/>
      </w:pPr>
      <w:r>
        <w:rPr>
          <w:rFonts w:ascii="Calibri" w:cs="Calibri" w:eastAsia="Calibri" w:hAnsi="Calibri"/>
          <w:color w:val="333333"/>
          <w:sz w:val="21"/>
          <w:szCs w:val="21"/>
        </w:rPr>
        <w:t xml:space="preserve">Track outcomes end-to-end so the two KPIs are reported from platform data, not reconstructed from memory.</w:t>
      </w:r>
    </w:p>
    <w:p>
      <w:pPr>
        <w:pStyle w:val="ListParagraph"/>
        <w:numPr>
          <w:ilvl w:val="0"/>
          <w:numId w:val="2"/>
        </w:numPr>
        <w:spacing w:after="80" w:line="276"/>
      </w:pPr>
      <w:r>
        <w:rPr>
          <w:rFonts w:ascii="Calibri" w:cs="Calibri" w:eastAsia="Calibri" w:hAnsi="Calibri"/>
          <w:color w:val="333333"/>
          <w:sz w:val="21"/>
          <w:szCs w:val="21"/>
        </w:rPr>
        <w:t xml:space="preserve">Operate across the three regional chapters (Trivandrum, Kochi, Calicut) with regional outreach owners.</w:t>
      </w:r>
    </w:p>
    <w:p>
      <w:pPr>
        <w:pStyle w:val="Heading1"/>
        <w:spacing w:after="200" w:before="360"/>
      </w:pPr>
      <w:r>
        <w:rPr>
          <w:rFonts w:ascii="Cambria" w:cs="Cambria" w:eastAsia="Cambria" w:hAnsi="Cambria"/>
          <w:b/>
          <w:bCs/>
          <w:color w:val="1E2A38"/>
          <w:sz w:val="30"/>
          <w:szCs w:val="30"/>
        </w:rPr>
        <w:t xml:space="preserve">2. Users &amp;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4526"/>
      </w:tblGrid>
      <w:tr>
        <w:trPr>
          <w:tblHeader/>
        </w:trPr>
        <w:tc>
          <w:tcPr>
            <w:tcW w:type="dxa" w:w="1600"/>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Role</w:t>
            </w:r>
          </w:p>
        </w:tc>
        <w:tc>
          <w:tcPr>
            <w:tcW w:type="dxa" w:w="2900"/>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Who</w:t>
            </w:r>
          </w:p>
        </w:tc>
        <w:tc>
          <w:tcPr>
            <w:tcW w:type="dxa" w:w="4526"/>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What they do on the platform</w:t>
            </w:r>
          </w:p>
        </w:tc>
      </w:tr>
      <w:tr>
        <w:tc>
          <w:tcPr>
            <w:tcW w:type="dxa" w:w="16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Angel</w:t>
            </w:r>
          </w:p>
        </w:tc>
        <w:tc>
          <w:tcPr>
            <w:tcW w:type="dxa" w:w="2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GTECH member company or founder, onboarded by regional Angel Outreach owners</w:t>
            </w:r>
          </w:p>
        </w:tc>
        <w:tc>
          <w:tcPr>
            <w:tcW w:type="dxa" w:w="45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Creates profile with declared commitment; browses approved startups; requests introductions; logs interest and outcomes</w:t>
            </w:r>
          </w:p>
        </w:tc>
      </w:tr>
      <w:tr>
        <w:tc>
          <w:tcPr>
            <w:tcW w:type="dxa" w:w="16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Startup</w:t>
            </w:r>
          </w:p>
        </w:tc>
        <w:tc>
          <w:tcPr>
            <w:tcW w:type="dxa" w:w="2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Founder of a startup onboarded via regional Startup Outreach owners or ecosystem partners</w:t>
            </w:r>
          </w:p>
        </w:tc>
        <w:tc>
          <w:tcPr>
            <w:tcW w:type="dxa" w:w="45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Creates detailed profile; visible to angels after screening approval; receives introduction requests; updates traction</w:t>
            </w:r>
          </w:p>
        </w:tc>
      </w:tr>
      <w:tr>
        <w:tc>
          <w:tcPr>
            <w:tcW w:type="dxa" w:w="16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Core Team (Admin)</w:t>
            </w:r>
          </w:p>
        </w:tc>
        <w:tc>
          <w:tcPr>
            <w:tcW w:type="dxa" w:w="2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The seven-member core team</w:t>
            </w:r>
          </w:p>
        </w:tc>
        <w:tc>
          <w:tcPr>
            <w:tcW w:type="dxa" w:w="45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Approves signups; runs screening workflow; facilitates introductions; records outcomes; manages content and events</w:t>
            </w:r>
          </w:p>
        </w:tc>
      </w:tr>
      <w:tr>
        <w:tc>
          <w:tcPr>
            <w:tcW w:type="dxa" w:w="16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Screener</w:t>
            </w:r>
          </w:p>
        </w:tc>
        <w:tc>
          <w:tcPr>
            <w:tcW w:type="dxa" w:w="2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Deal Screening &amp; Due Diligence owner (subset of Admin rights)</w:t>
            </w:r>
          </w:p>
        </w:tc>
        <w:tc>
          <w:tcPr>
            <w:tcW w:type="dxa" w:w="45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Scores startup applications against the scorecard; moves them through the screening pipeline</w:t>
            </w:r>
          </w:p>
        </w:tc>
      </w:tr>
      <w:tr>
        <w:tc>
          <w:tcPr>
            <w:tcW w:type="dxa" w:w="16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Leadership (view-only)</w:t>
            </w:r>
          </w:p>
        </w:tc>
        <w:tc>
          <w:tcPr>
            <w:tcW w:type="dxa" w:w="2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GTECH Chairman, Secretary, EC</w:t>
            </w:r>
          </w:p>
        </w:tc>
        <w:tc>
          <w:tcPr>
            <w:tcW w:type="dxa" w:w="45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Views KPI dashboard and reports; no edit rights</w:t>
            </w:r>
          </w:p>
        </w:tc>
      </w:tr>
    </w:tbl>
    <w:p>
      <w:pPr>
        <w:pStyle w:val="Heading1"/>
        <w:spacing w:after="200" w:before="360"/>
      </w:pPr>
      <w:r>
        <w:rPr>
          <w:rFonts w:ascii="Cambria" w:cs="Cambria" w:eastAsia="Cambria" w:hAnsi="Cambria"/>
          <w:b/>
          <w:bCs/>
          <w:color w:val="1E2A38"/>
          <w:sz w:val="30"/>
          <w:szCs w:val="30"/>
        </w:rPr>
        <w:t xml:space="preserve">3. Scope</w:t>
      </w:r>
    </w:p>
    <w:p>
      <w:pPr>
        <w:spacing w:after="160" w:line="276"/>
      </w:pPr>
      <w:r>
        <w:rPr>
          <w:rFonts w:ascii="Calibri" w:cs="Calibri" w:eastAsia="Calibri" w:hAnsi="Calibri"/>
          <w:color w:val="333333"/>
          <w:sz w:val="21"/>
          <w:szCs w:val="21"/>
        </w:rPr>
        <w:t xml:space="preserve">The platform will be delivered in two phases aligned to the 90-day action plan. </w:t>
      </w:r>
      <w:r>
        <w:rPr>
          <w:rFonts w:ascii="Calibri" w:cs="Calibri" w:eastAsia="Calibri" w:hAnsi="Calibri"/>
          <w:b/>
          <w:bCs/>
          <w:color w:val="333333"/>
          <w:sz w:val="21"/>
          <w:szCs w:val="21"/>
        </w:rPr>
        <w:t xml:space="preserve">MVP (Phase 1)</w:t>
      </w:r>
      <w:r>
        <w:rPr>
          <w:rFonts w:ascii="Calibri" w:cs="Calibri" w:eastAsia="Calibri" w:hAnsi="Calibri"/>
          <w:color w:val="333333"/>
          <w:sz w:val="21"/>
          <w:szCs w:val="21"/>
        </w:rPr>
        <w:t xml:space="preserve"> targets launch before the first pitch day and is intentionally minimal: profiles, screening, discovery, introduction requests, and outcome logging. </w:t>
      </w:r>
      <w:r>
        <w:rPr>
          <w:rFonts w:ascii="Calibri" w:cs="Calibri" w:eastAsia="Calibri" w:hAnsi="Calibri"/>
          <w:b/>
          <w:bCs/>
          <w:color w:val="333333"/>
          <w:sz w:val="21"/>
          <w:szCs w:val="21"/>
        </w:rPr>
        <w:t xml:space="preserve">Phase 2</w:t>
      </w:r>
      <w:r>
        <w:rPr>
          <w:rFonts w:ascii="Calibri" w:cs="Calibri" w:eastAsia="Calibri" w:hAnsi="Calibri"/>
          <w:color w:val="333333"/>
          <w:sz w:val="21"/>
          <w:szCs w:val="21"/>
        </w:rPr>
        <w:t xml:space="preserve"> adds automation and engagement features once real usage proves the need. This split is a judgment call favouring speed to first outcome over completeness; the core team may re-prioritise.</w:t>
      </w:r>
    </w:p>
    <w:p>
      <w:pPr>
        <w:pStyle w:val="Heading2"/>
        <w:spacing w:after="140" w:before="260"/>
      </w:pPr>
      <w:r>
        <w:rPr>
          <w:rFonts w:ascii="Cambria" w:cs="Cambria" w:eastAsia="Cambria" w:hAnsi="Cambria"/>
          <w:b/>
          <w:bCs/>
          <w:color w:val="028090"/>
          <w:sz w:val="24"/>
          <w:szCs w:val="24"/>
        </w:rPr>
        <w:t xml:space="preserve">3.1 In scope — MVP</w:t>
      </w:r>
    </w:p>
    <w:p>
      <w:pPr>
        <w:pStyle w:val="ListParagraph"/>
        <w:numPr>
          <w:ilvl w:val="0"/>
          <w:numId w:val="2"/>
        </w:numPr>
        <w:spacing w:after="80" w:line="276"/>
      </w:pPr>
      <w:r>
        <w:rPr>
          <w:rFonts w:ascii="Calibri" w:cs="Calibri" w:eastAsia="Calibri" w:hAnsi="Calibri"/>
          <w:color w:val="333333"/>
          <w:sz w:val="21"/>
          <w:szCs w:val="21"/>
        </w:rPr>
        <w:t xml:space="preserve">Verified signup and profile creation for angels and startups</w:t>
      </w:r>
    </w:p>
    <w:p>
      <w:pPr>
        <w:pStyle w:val="ListParagraph"/>
        <w:numPr>
          <w:ilvl w:val="0"/>
          <w:numId w:val="2"/>
        </w:numPr>
        <w:spacing w:after="80" w:line="276"/>
      </w:pPr>
      <w:r>
        <w:rPr>
          <w:rFonts w:ascii="Calibri" w:cs="Calibri" w:eastAsia="Calibri" w:hAnsi="Calibri"/>
          <w:color w:val="333333"/>
          <w:sz w:val="21"/>
          <w:szCs w:val="21"/>
        </w:rPr>
        <w:t xml:space="preserve">Screening workflow with scorecard for startup approval</w:t>
      </w:r>
    </w:p>
    <w:p>
      <w:pPr>
        <w:pStyle w:val="ListParagraph"/>
        <w:numPr>
          <w:ilvl w:val="0"/>
          <w:numId w:val="2"/>
        </w:numPr>
        <w:spacing w:after="80" w:line="276"/>
      </w:pPr>
      <w:r>
        <w:rPr>
          <w:rFonts w:ascii="Calibri" w:cs="Calibri" w:eastAsia="Calibri" w:hAnsi="Calibri"/>
          <w:color w:val="333333"/>
          <w:sz w:val="21"/>
          <w:szCs w:val="21"/>
        </w:rPr>
        <w:t xml:space="preserve">Searchable, filterable directories (angels visible to admins and, per visibility rules, to startups; approved startups visible to angels)</w:t>
      </w:r>
    </w:p>
    <w:p>
      <w:pPr>
        <w:pStyle w:val="ListParagraph"/>
        <w:numPr>
          <w:ilvl w:val="0"/>
          <w:numId w:val="2"/>
        </w:numPr>
        <w:spacing w:after="80" w:line="276"/>
      </w:pPr>
      <w:r>
        <w:rPr>
          <w:rFonts w:ascii="Calibri" w:cs="Calibri" w:eastAsia="Calibri" w:hAnsi="Calibri"/>
          <w:color w:val="333333"/>
          <w:sz w:val="21"/>
          <w:szCs w:val="21"/>
        </w:rPr>
        <w:t xml:space="preserve">Introduction request workflow with status tracking</w:t>
      </w:r>
    </w:p>
    <w:p>
      <w:pPr>
        <w:pStyle w:val="ListParagraph"/>
        <w:numPr>
          <w:ilvl w:val="0"/>
          <w:numId w:val="2"/>
        </w:numPr>
        <w:spacing w:after="80" w:line="276"/>
      </w:pPr>
      <w:r>
        <w:rPr>
          <w:rFonts w:ascii="Calibri" w:cs="Calibri" w:eastAsia="Calibri" w:hAnsi="Calibri"/>
          <w:color w:val="333333"/>
          <w:sz w:val="21"/>
          <w:szCs w:val="21"/>
        </w:rPr>
        <w:t xml:space="preserve">Outcome logging: investments and partnerships with amounts, dates, and parties</w:t>
      </w:r>
    </w:p>
    <w:p>
      <w:pPr>
        <w:pStyle w:val="ListParagraph"/>
        <w:numPr>
          <w:ilvl w:val="0"/>
          <w:numId w:val="2"/>
        </w:numPr>
        <w:spacing w:after="80" w:line="276"/>
      </w:pPr>
      <w:r>
        <w:rPr>
          <w:rFonts w:ascii="Calibri" w:cs="Calibri" w:eastAsia="Calibri" w:hAnsi="Calibri"/>
          <w:color w:val="333333"/>
          <w:sz w:val="21"/>
          <w:szCs w:val="21"/>
        </w:rPr>
        <w:t xml:space="preserve">Admin KPI dashboard and monthly EC report export</w:t>
      </w:r>
    </w:p>
    <w:p>
      <w:pPr>
        <w:pStyle w:val="ListParagraph"/>
        <w:numPr>
          <w:ilvl w:val="0"/>
          <w:numId w:val="2"/>
        </w:numPr>
        <w:spacing w:after="80" w:line="276"/>
      </w:pPr>
      <w:r>
        <w:rPr>
          <w:rFonts w:ascii="Calibri" w:cs="Calibri" w:eastAsia="Calibri" w:hAnsi="Calibri"/>
          <w:color w:val="333333"/>
          <w:sz w:val="21"/>
          <w:szCs w:val="21"/>
        </w:rPr>
        <w:t xml:space="preserve">Email notifications for key events</w:t>
      </w:r>
    </w:p>
    <w:p>
      <w:pPr>
        <w:pStyle w:val="Heading2"/>
        <w:spacing w:after="140" w:before="260"/>
      </w:pPr>
      <w:r>
        <w:rPr>
          <w:rFonts w:ascii="Cambria" w:cs="Cambria" w:eastAsia="Cambria" w:hAnsi="Cambria"/>
          <w:b/>
          <w:bCs/>
          <w:color w:val="028090"/>
          <w:sz w:val="24"/>
          <w:szCs w:val="24"/>
        </w:rPr>
        <w:t xml:space="preserve">3.2 Out of scope — MVP (Phase 2 candidates)</w:t>
      </w:r>
    </w:p>
    <w:p>
      <w:pPr>
        <w:pStyle w:val="ListParagraph"/>
        <w:numPr>
          <w:ilvl w:val="0"/>
          <w:numId w:val="2"/>
        </w:numPr>
        <w:spacing w:after="80" w:line="276"/>
      </w:pPr>
      <w:r>
        <w:rPr>
          <w:rFonts w:ascii="Calibri" w:cs="Calibri" w:eastAsia="Calibri" w:hAnsi="Calibri"/>
          <w:color w:val="333333"/>
          <w:sz w:val="21"/>
          <w:szCs w:val="21"/>
        </w:rPr>
        <w:t xml:space="preserve">Automated matching / recommendation engine (MVP uses filters and curated suggestions by admins)</w:t>
      </w:r>
    </w:p>
    <w:p>
      <w:pPr>
        <w:pStyle w:val="ListParagraph"/>
        <w:numPr>
          <w:ilvl w:val="0"/>
          <w:numId w:val="2"/>
        </w:numPr>
        <w:spacing w:after="80" w:line="276"/>
      </w:pPr>
      <w:r>
        <w:rPr>
          <w:rFonts w:ascii="Calibri" w:cs="Calibri" w:eastAsia="Calibri" w:hAnsi="Calibri"/>
          <w:color w:val="333333"/>
          <w:sz w:val="21"/>
          <w:szCs w:val="21"/>
        </w:rPr>
        <w:t xml:space="preserve">In-platform messaging or chat (MVP connects parties by email introduction)</w:t>
      </w:r>
    </w:p>
    <w:p>
      <w:pPr>
        <w:pStyle w:val="ListParagraph"/>
        <w:numPr>
          <w:ilvl w:val="0"/>
          <w:numId w:val="2"/>
        </w:numPr>
        <w:spacing w:after="80" w:line="276"/>
      </w:pPr>
      <w:r>
        <w:rPr>
          <w:rFonts w:ascii="Calibri" w:cs="Calibri" w:eastAsia="Calibri" w:hAnsi="Calibri"/>
          <w:color w:val="333333"/>
          <w:sz w:val="21"/>
          <w:szCs w:val="21"/>
        </w:rPr>
        <w:t xml:space="preserve">Payment, escrow, or any movement of funds — the platform records commitments and outcomes; money never flows through it</w:t>
      </w:r>
    </w:p>
    <w:p>
      <w:pPr>
        <w:pStyle w:val="ListParagraph"/>
        <w:numPr>
          <w:ilvl w:val="0"/>
          <w:numId w:val="2"/>
        </w:numPr>
        <w:spacing w:after="80" w:line="276"/>
      </w:pPr>
      <w:r>
        <w:rPr>
          <w:rFonts w:ascii="Calibri" w:cs="Calibri" w:eastAsia="Calibri" w:hAnsi="Calibri"/>
          <w:color w:val="333333"/>
          <w:sz w:val="21"/>
          <w:szCs w:val="21"/>
        </w:rPr>
        <w:t xml:space="preserve">Pitch day event management beyond a simple event page and RSVP list</w:t>
      </w:r>
    </w:p>
    <w:p>
      <w:pPr>
        <w:pStyle w:val="ListParagraph"/>
        <w:numPr>
          <w:ilvl w:val="0"/>
          <w:numId w:val="2"/>
        </w:numPr>
        <w:spacing w:after="80" w:line="276"/>
      </w:pPr>
      <w:r>
        <w:rPr>
          <w:rFonts w:ascii="Calibri" w:cs="Calibri" w:eastAsia="Calibri" w:hAnsi="Calibri"/>
          <w:color w:val="333333"/>
          <w:sz w:val="21"/>
          <w:szCs w:val="21"/>
        </w:rPr>
        <w:t xml:space="preserve">WhatsApp notifications, mobile apps, public (non-member) visibility</w:t>
      </w:r>
    </w:p>
    <w:p>
      <w:pPr>
        <w:pStyle w:val="ListParagraph"/>
        <w:numPr>
          <w:ilvl w:val="0"/>
          <w:numId w:val="2"/>
        </w:numPr>
        <w:spacing w:after="80" w:line="276"/>
      </w:pPr>
      <w:r>
        <w:rPr>
          <w:rFonts w:ascii="Calibri" w:cs="Calibri" w:eastAsia="Calibri" w:hAnsi="Calibri"/>
          <w:color w:val="333333"/>
          <w:sz w:val="21"/>
          <w:szCs w:val="21"/>
        </w:rPr>
        <w:t xml:space="preserve">Syndicate formation tooling — pending the legal &amp; compliance review of the investment model</w:t>
      </w:r>
    </w:p>
    <w:p>
      <w:pPr>
        <w:pStyle w:val="Heading1"/>
        <w:spacing w:after="200" w:before="360"/>
      </w:pPr>
      <w:r>
        <w:rPr>
          <w:rFonts w:ascii="Cambria" w:cs="Cambria" w:eastAsia="Cambria" w:hAnsi="Cambria"/>
          <w:b/>
          <w:bCs/>
          <w:color w:val="1E2A38"/>
          <w:sz w:val="30"/>
          <w:szCs w:val="30"/>
        </w:rPr>
        <w:t xml:space="preserve">4. Functional Requirements</w:t>
      </w:r>
    </w:p>
    <w:p>
      <w:pPr>
        <w:spacing w:after="160" w:line="276"/>
      </w:pPr>
      <w:r>
        <w:rPr>
          <w:rFonts w:ascii="Calibri" w:cs="Calibri" w:eastAsia="Calibri" w:hAnsi="Calibri"/>
          <w:color w:val="333333"/>
          <w:sz w:val="21"/>
          <w:szCs w:val="21"/>
        </w:rPr>
        <w:t xml:space="preserve">Priority key: </w:t>
      </w:r>
      <w:r>
        <w:rPr>
          <w:rFonts w:ascii="Calibri" w:cs="Calibri" w:eastAsia="Calibri" w:hAnsi="Calibri"/>
          <w:b/>
          <w:bCs/>
          <w:color w:val="333333"/>
          <w:sz w:val="21"/>
          <w:szCs w:val="21"/>
        </w:rPr>
        <w:t xml:space="preserve">M</w:t>
      </w:r>
      <w:r>
        <w:rPr>
          <w:rFonts w:ascii="Calibri" w:cs="Calibri" w:eastAsia="Calibri" w:hAnsi="Calibri"/>
          <w:color w:val="333333"/>
          <w:sz w:val="21"/>
          <w:szCs w:val="21"/>
        </w:rPr>
        <w:t xml:space="preserve"> = Must have (MVP), </w:t>
      </w:r>
      <w:r>
        <w:rPr>
          <w:rFonts w:ascii="Calibri" w:cs="Calibri" w:eastAsia="Calibri" w:hAnsi="Calibri"/>
          <w:b/>
          <w:bCs/>
          <w:color w:val="333333"/>
          <w:sz w:val="21"/>
          <w:szCs w:val="21"/>
        </w:rPr>
        <w:t xml:space="preserve">S</w:t>
      </w:r>
      <w:r>
        <w:rPr>
          <w:rFonts w:ascii="Calibri" w:cs="Calibri" w:eastAsia="Calibri" w:hAnsi="Calibri"/>
          <w:color w:val="333333"/>
          <w:sz w:val="21"/>
          <w:szCs w:val="21"/>
        </w:rPr>
        <w:t xml:space="preserve"> = Should have (MVP if effort permits), </w:t>
      </w:r>
      <w:r>
        <w:rPr>
          <w:rFonts w:ascii="Calibri" w:cs="Calibri" w:eastAsia="Calibri" w:hAnsi="Calibri"/>
          <w:b/>
          <w:bCs/>
          <w:color w:val="333333"/>
          <w:sz w:val="21"/>
          <w:szCs w:val="21"/>
        </w:rPr>
        <w:t xml:space="preserve">P2</w:t>
      </w:r>
      <w:r>
        <w:rPr>
          <w:rFonts w:ascii="Calibri" w:cs="Calibri" w:eastAsia="Calibri" w:hAnsi="Calibri"/>
          <w:color w:val="333333"/>
          <w:sz w:val="21"/>
          <w:szCs w:val="21"/>
        </w:rPr>
        <w:t xml:space="preserve"> = Phase 2.</w:t>
      </w:r>
    </w:p>
    <w:p>
      <w:pPr>
        <w:pStyle w:val="Heading2"/>
        <w:spacing w:after="140" w:before="260"/>
      </w:pPr>
      <w:r>
        <w:rPr>
          <w:rFonts w:ascii="Cambria" w:cs="Cambria" w:eastAsia="Cambria" w:hAnsi="Cambria"/>
          <w:b/>
          <w:bCs/>
          <w:color w:val="028090"/>
          <w:sz w:val="24"/>
          <w:szCs w:val="24"/>
        </w:rPr>
        <w:t xml:space="preserve">4.1 Onboarding &amp;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226"/>
        <w:gridCol w:w="900"/>
      </w:tblGrid>
      <w:tr>
        <w:trPr>
          <w:tblHeader/>
        </w:trPr>
        <w:tc>
          <w:tcPr>
            <w:tcW w:type="dxa" w:w="900"/>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ID</w:t>
            </w:r>
          </w:p>
        </w:tc>
        <w:tc>
          <w:tcPr>
            <w:tcW w:type="dxa" w:w="7226"/>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Requirement</w:t>
            </w:r>
          </w:p>
        </w:tc>
        <w:tc>
          <w:tcPr>
            <w:tcW w:type="dxa" w:w="900"/>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Pri</w:t>
            </w:r>
          </w:p>
        </w:tc>
      </w:tr>
      <w:tr>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FR-01</w:t>
            </w:r>
          </w:p>
        </w:tc>
        <w:tc>
          <w:tcPr>
            <w:tcW w:type="dxa" w:w="7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Signup with email verification via one-time password (OTP); no passwords stored for MVP — magic link or OTP login</w:t>
            </w:r>
          </w:p>
        </w:tc>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FR-02</w:t>
            </w:r>
          </w:p>
        </w:tc>
        <w:tc>
          <w:tcPr>
            <w:tcW w:type="dxa" w:w="72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Angel signups verified against the GTECH member register before activation; non-members rejected with a message to contact the Secretariat</w:t>
            </w:r>
          </w:p>
        </w:tc>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FR-03</w:t>
            </w:r>
          </w:p>
        </w:tc>
        <w:tc>
          <w:tcPr>
            <w:tcW w:type="dxa" w:w="7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Startup signups enter the screening pipeline on submission; profile invisible to angels until approved</w:t>
            </w:r>
          </w:p>
        </w:tc>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FR-04</w:t>
            </w:r>
          </w:p>
        </w:tc>
        <w:tc>
          <w:tcPr>
            <w:tcW w:type="dxa" w:w="72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Each account tagged with region (Trivandrum / Kochi / Calicut / Other) and referred-by (outreach owner or ecosystem partner)</w:t>
            </w:r>
          </w:p>
        </w:tc>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FR-05</w:t>
            </w:r>
          </w:p>
        </w:tc>
        <w:tc>
          <w:tcPr>
            <w:tcW w:type="dxa" w:w="7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Terms of use and privacy consent (DPDP Act) captured at signup with timestamp</w:t>
            </w:r>
          </w:p>
        </w:tc>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bl>
    <w:p>
      <w:pPr>
        <w:pStyle w:val="Heading2"/>
        <w:spacing w:after="140" w:before="260"/>
      </w:pPr>
      <w:r>
        <w:rPr>
          <w:rFonts w:ascii="Cambria" w:cs="Cambria" w:eastAsia="Cambria" w:hAnsi="Cambria"/>
          <w:b/>
          <w:bCs/>
          <w:color w:val="028090"/>
          <w:sz w:val="24"/>
          <w:szCs w:val="24"/>
        </w:rPr>
        <w:t xml:space="preserve">4.2 Angel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226"/>
        <w:gridCol w:w="900"/>
      </w:tblGrid>
      <w:tr>
        <w:trPr>
          <w:tblHeader/>
        </w:trPr>
        <w:tc>
          <w:tcPr>
            <w:tcW w:type="dxa" w:w="900"/>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ID</w:t>
            </w:r>
          </w:p>
        </w:tc>
        <w:tc>
          <w:tcPr>
            <w:tcW w:type="dxa" w:w="7226"/>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Requirement</w:t>
            </w:r>
          </w:p>
        </w:tc>
        <w:tc>
          <w:tcPr>
            <w:tcW w:type="dxa" w:w="900"/>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Pri</w:t>
            </w:r>
          </w:p>
        </w:tc>
      </w:tr>
      <w:tr>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FR-06</w:t>
            </w:r>
          </w:p>
        </w:tc>
        <w:tc>
          <w:tcPr>
            <w:tcW w:type="dxa" w:w="7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Company / founder identity: name, company, designation, LinkedIn, region</w:t>
            </w:r>
          </w:p>
        </w:tc>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FR-07</w:t>
            </w:r>
          </w:p>
        </w:tc>
        <w:tc>
          <w:tcPr>
            <w:tcW w:type="dxa" w:w="72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Expertise declaration: technology domains, industry domains, and market / geography expertise (multi-select from a controlled list plus free text)</w:t>
            </w:r>
          </w:p>
        </w:tc>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FR-08</w:t>
            </w:r>
          </w:p>
        </w:tc>
        <w:tc>
          <w:tcPr>
            <w:tcW w:type="dxa" w:w="7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Investment declaration: committed amount (₹), preferred ticket size range, preferred startup stages and sectors</w:t>
            </w:r>
          </w:p>
        </w:tc>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FR-09</w:t>
            </w:r>
          </w:p>
        </w:tc>
        <w:tc>
          <w:tcPr>
            <w:tcW w:type="dxa" w:w="72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Market-access declaration: client segments and geographies the angel can open, partnership types offered (customer intro / channel / pilot / mentoring)</w:t>
            </w:r>
          </w:p>
        </w:tc>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FR-10</w:t>
            </w:r>
          </w:p>
        </w:tc>
        <w:tc>
          <w:tcPr>
            <w:tcW w:type="dxa" w:w="7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Visibility control: angel chooses whether the declared ₹ amount is visible to startups, visible as a band (e.g. ₹10–25 L), or admin-only. Default: band.</w:t>
            </w:r>
          </w:p>
        </w:tc>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FR-11</w:t>
            </w:r>
          </w:p>
        </w:tc>
        <w:tc>
          <w:tcPr>
            <w:tcW w:type="dxa" w:w="72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Profile completeness indicator; profiles under 80% complete flagged to the regional outreach owner</w:t>
            </w:r>
          </w:p>
        </w:tc>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S</w:t>
            </w:r>
          </w:p>
        </w:tc>
      </w:tr>
    </w:tbl>
    <w:p>
      <w:pPr>
        <w:pStyle w:val="Heading2"/>
        <w:spacing w:after="140" w:before="260"/>
      </w:pPr>
      <w:r>
        <w:rPr>
          <w:rFonts w:ascii="Cambria" w:cs="Cambria" w:eastAsia="Cambria" w:hAnsi="Cambria"/>
          <w:b/>
          <w:bCs/>
          <w:color w:val="028090"/>
          <w:sz w:val="24"/>
          <w:szCs w:val="24"/>
        </w:rPr>
        <w:t xml:space="preserve">4.3 Startup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226"/>
        <w:gridCol w:w="900"/>
      </w:tblGrid>
      <w:tr>
        <w:trPr>
          <w:tblHeader/>
        </w:trPr>
        <w:tc>
          <w:tcPr>
            <w:tcW w:type="dxa" w:w="900"/>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ID</w:t>
            </w:r>
          </w:p>
        </w:tc>
        <w:tc>
          <w:tcPr>
            <w:tcW w:type="dxa" w:w="7226"/>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Requirement</w:t>
            </w:r>
          </w:p>
        </w:tc>
        <w:tc>
          <w:tcPr>
            <w:tcW w:type="dxa" w:w="900"/>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Pri</w:t>
            </w:r>
          </w:p>
        </w:tc>
      </w:tr>
      <w:tr>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FR-12</w:t>
            </w:r>
          </w:p>
        </w:tc>
        <w:tc>
          <w:tcPr>
            <w:tcW w:type="dxa" w:w="7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Identity: startup name, founders, incorporation status, region, website, LinkedIn</w:t>
            </w:r>
          </w:p>
        </w:tc>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FR-13</w:t>
            </w:r>
          </w:p>
        </w:tc>
        <w:tc>
          <w:tcPr>
            <w:tcW w:type="dxa" w:w="72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Stage (Idea / MVP / Early Revenue / Growth) and sector (controlled list)</w:t>
            </w:r>
          </w:p>
        </w:tc>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FR-14</w:t>
            </w:r>
          </w:p>
        </w:tc>
        <w:tc>
          <w:tcPr>
            <w:tcW w:type="dxa" w:w="7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ICP — ideal customer profile: segment, buyer persona, geography</w:t>
            </w:r>
          </w:p>
        </w:tc>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FR-15</w:t>
            </w:r>
          </w:p>
        </w:tc>
        <w:tc>
          <w:tcPr>
            <w:tcW w:type="dxa" w:w="72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Traction: ARR / MRR band, customer count, growth rate, notable customers (optional)</w:t>
            </w:r>
          </w:p>
        </w:tc>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FR-16</w:t>
            </w:r>
          </w:p>
        </w:tc>
        <w:tc>
          <w:tcPr>
            <w:tcW w:type="dxa" w:w="7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Funding ask: amount sought (₹), instrument preference, use of funds, prior funding</w:t>
            </w:r>
          </w:p>
        </w:tc>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FR-17</w:t>
            </w:r>
          </w:p>
        </w:tc>
        <w:tc>
          <w:tcPr>
            <w:tcW w:type="dxa" w:w="72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Help sought: capital, market access, or both — with specifics (e.g. “intros to mid-market BFSI in GCC”)</w:t>
            </w:r>
          </w:p>
        </w:tc>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FR-18</w:t>
            </w:r>
          </w:p>
        </w:tc>
        <w:tc>
          <w:tcPr>
            <w:tcW w:type="dxa" w:w="7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Pitch deck upload (PDF, max 20 MB) visible to angels post-approval</w:t>
            </w:r>
          </w:p>
        </w:tc>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FR-19</w:t>
            </w:r>
          </w:p>
        </w:tc>
        <w:tc>
          <w:tcPr>
            <w:tcW w:type="dxa" w:w="72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Quarterly traction update prompt; stale profiles (&gt; 6 months) flagged in directory</w:t>
            </w:r>
          </w:p>
        </w:tc>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S</w:t>
            </w:r>
          </w:p>
        </w:tc>
      </w:tr>
    </w:tbl>
    <w:p>
      <w:pPr>
        <w:pStyle w:val="Heading2"/>
        <w:spacing w:after="140" w:before="260"/>
      </w:pPr>
      <w:r>
        <w:rPr>
          <w:rFonts w:ascii="Cambria" w:cs="Cambria" w:eastAsia="Cambria" w:hAnsi="Cambria"/>
          <w:b/>
          <w:bCs/>
          <w:color w:val="028090"/>
          <w:sz w:val="24"/>
          <w:szCs w:val="24"/>
        </w:rPr>
        <w:t xml:space="preserve">4.4 Screening &amp;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226"/>
        <w:gridCol w:w="900"/>
      </w:tblGrid>
      <w:tr>
        <w:trPr>
          <w:tblHeader/>
        </w:trPr>
        <w:tc>
          <w:tcPr>
            <w:tcW w:type="dxa" w:w="900"/>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ID</w:t>
            </w:r>
          </w:p>
        </w:tc>
        <w:tc>
          <w:tcPr>
            <w:tcW w:type="dxa" w:w="7226"/>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Requirement</w:t>
            </w:r>
          </w:p>
        </w:tc>
        <w:tc>
          <w:tcPr>
            <w:tcW w:type="dxa" w:w="900"/>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Pri</w:t>
            </w:r>
          </w:p>
        </w:tc>
      </w:tr>
      <w:tr>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FR-20</w:t>
            </w:r>
          </w:p>
        </w:tc>
        <w:tc>
          <w:tcPr>
            <w:tcW w:type="dxa" w:w="7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Pipeline states: Applied → In Screening → Approved / Rejected / On Hold, with timestamps and screener identity</w:t>
            </w:r>
          </w:p>
        </w:tc>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FR-21</w:t>
            </w:r>
          </w:p>
        </w:tc>
        <w:tc>
          <w:tcPr>
            <w:tcW w:type="dxa" w:w="72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Scorecard capture per application (criteria and weights per the Deal Screening owner’s framework); score stored with the application</w:t>
            </w:r>
          </w:p>
        </w:tc>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FR-22</w:t>
            </w:r>
          </w:p>
        </w:tc>
        <w:tc>
          <w:tcPr>
            <w:tcW w:type="dxa" w:w="7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Rejection sends a courteous templated email with reapplication guidance; rejection reasons logged internally, not shown verbatim to the startup</w:t>
            </w:r>
          </w:p>
        </w:tc>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FR-23</w:t>
            </w:r>
          </w:p>
        </w:tc>
        <w:tc>
          <w:tcPr>
            <w:tcW w:type="dxa" w:w="72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Screening SLA indicator: applications pending beyond 14 days highlighted to admins</w:t>
            </w:r>
          </w:p>
        </w:tc>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S</w:t>
            </w:r>
          </w:p>
        </w:tc>
      </w:tr>
    </w:tbl>
    <w:p>
      <w:pPr>
        <w:pStyle w:val="Heading2"/>
        <w:spacing w:after="140" w:before="260"/>
      </w:pPr>
      <w:r>
        <w:rPr>
          <w:rFonts w:ascii="Cambria" w:cs="Cambria" w:eastAsia="Cambria" w:hAnsi="Cambria"/>
          <w:b/>
          <w:bCs/>
          <w:color w:val="028090"/>
          <w:sz w:val="24"/>
          <w:szCs w:val="24"/>
        </w:rPr>
        <w:t xml:space="preserve">4.5 Discovery &amp; Introductions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226"/>
        <w:gridCol w:w="900"/>
      </w:tblGrid>
      <w:tr>
        <w:trPr>
          <w:tblHeader/>
        </w:trPr>
        <w:tc>
          <w:tcPr>
            <w:tcW w:type="dxa" w:w="900"/>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ID</w:t>
            </w:r>
          </w:p>
        </w:tc>
        <w:tc>
          <w:tcPr>
            <w:tcW w:type="dxa" w:w="7226"/>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Requirement</w:t>
            </w:r>
          </w:p>
        </w:tc>
        <w:tc>
          <w:tcPr>
            <w:tcW w:type="dxa" w:w="900"/>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Pri</w:t>
            </w:r>
          </w:p>
        </w:tc>
      </w:tr>
      <w:tr>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FR-24</w:t>
            </w:r>
          </w:p>
        </w:tc>
        <w:tc>
          <w:tcPr>
            <w:tcW w:type="dxa" w:w="7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Angel directory view of approved startups with filters: sector, stage, region, ask range, help sought</w:t>
            </w:r>
          </w:p>
        </w:tc>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FR-25</w:t>
            </w:r>
          </w:p>
        </w:tc>
        <w:tc>
          <w:tcPr>
            <w:tcW w:type="dxa" w:w="72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Startup view of angels: name, company, expertise and market-access offer; investment amounts per FR-10 visibility rules</w:t>
            </w:r>
          </w:p>
        </w:tc>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FR-26</w:t>
            </w:r>
          </w:p>
        </w:tc>
        <w:tc>
          <w:tcPr>
            <w:tcW w:type="dxa" w:w="7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Introduction request: either party requests an intro with a short context note; admin (or auto, per setting) makes a double-opt-in email introduction</w:t>
            </w:r>
          </w:p>
        </w:tc>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FR-27</w:t>
            </w:r>
          </w:p>
        </w:tc>
        <w:tc>
          <w:tcPr>
            <w:tcW w:type="dxa" w:w="72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Introduction states: Requested → Accepted / Declined → Meeting Held → Progressing / Closed, updated by either party or admin</w:t>
            </w:r>
          </w:p>
        </w:tc>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FR-28</w:t>
            </w:r>
          </w:p>
        </w:tc>
        <w:tc>
          <w:tcPr>
            <w:tcW w:type="dxa" w:w="7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Curated suggestions: admins can pin “recommended matches” onto angel dashboards</w:t>
            </w:r>
          </w:p>
        </w:tc>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S</w:t>
            </w:r>
          </w:p>
        </w:tc>
      </w:tr>
      <w:tr>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FR-29</w:t>
            </w:r>
          </w:p>
        </w:tc>
        <w:tc>
          <w:tcPr>
            <w:tcW w:type="dxa" w:w="72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Automated match scoring between profiles</w:t>
            </w:r>
          </w:p>
        </w:tc>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P2</w:t>
            </w:r>
          </w:p>
        </w:tc>
      </w:tr>
    </w:tbl>
    <w:p>
      <w:pPr>
        <w:pStyle w:val="Heading2"/>
        <w:spacing w:after="140" w:before="260"/>
      </w:pPr>
      <w:r>
        <w:rPr>
          <w:rFonts w:ascii="Cambria" w:cs="Cambria" w:eastAsia="Cambria" w:hAnsi="Cambria"/>
          <w:b/>
          <w:bCs/>
          <w:color w:val="028090"/>
          <w:sz w:val="24"/>
          <w:szCs w:val="24"/>
        </w:rPr>
        <w:t xml:space="preserve">4.6 Outcomes &amp; KPI Tracking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226"/>
        <w:gridCol w:w="900"/>
      </w:tblGrid>
      <w:tr>
        <w:trPr>
          <w:tblHeader/>
        </w:trPr>
        <w:tc>
          <w:tcPr>
            <w:tcW w:type="dxa" w:w="900"/>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ID</w:t>
            </w:r>
          </w:p>
        </w:tc>
        <w:tc>
          <w:tcPr>
            <w:tcW w:type="dxa" w:w="7226"/>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Requirement</w:t>
            </w:r>
          </w:p>
        </w:tc>
        <w:tc>
          <w:tcPr>
            <w:tcW w:type="dxa" w:w="900"/>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Pri</w:t>
            </w:r>
          </w:p>
        </w:tc>
      </w:tr>
      <w:tr>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FR-30</w:t>
            </w:r>
          </w:p>
        </w:tc>
        <w:tc>
          <w:tcPr>
            <w:tcW w:type="dxa" w:w="7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Investment record: startup, participating angel(s), amount (₹), date, stage, linked introduction — entered by admin, confirmed by both parties</w:t>
            </w:r>
          </w:p>
        </w:tc>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FR-31</w:t>
            </w:r>
          </w:p>
        </w:tc>
        <w:tc>
          <w:tcPr>
            <w:tcW w:type="dxa" w:w="72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Partnership record: startup, member company, type (customer intro converted / channel / pilot / other), date, brief description</w:t>
            </w:r>
          </w:p>
        </w:tc>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FR-32</w:t>
            </w:r>
          </w:p>
        </w:tc>
        <w:tc>
          <w:tcPr>
            <w:tcW w:type="dxa" w:w="7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KPI dashboard: investments count &amp; value, partnerships count, signups and committed capital pool by region, introduction funnel conversion</w:t>
            </w:r>
          </w:p>
        </w:tc>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FR-33</w:t>
            </w:r>
          </w:p>
        </w:tc>
        <w:tc>
          <w:tcPr>
            <w:tcW w:type="dxa" w:w="72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One-click monthly EC report export (PDF / XLSX) matching the reporting cadence in the 90-day plan</w:t>
            </w:r>
          </w:p>
        </w:tc>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S</w:t>
            </w:r>
          </w:p>
        </w:tc>
      </w:tr>
      <w:tr>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FR-34</w:t>
            </w:r>
          </w:p>
        </w:tc>
        <w:tc>
          <w:tcPr>
            <w:tcW w:type="dxa" w:w="7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Success stories flag: outcomes marked “shareable” feed the Communication owner’s announcements</w:t>
            </w:r>
          </w:p>
        </w:tc>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S</w:t>
            </w:r>
          </w:p>
        </w:tc>
      </w:tr>
    </w:tbl>
    <w:p>
      <w:pPr>
        <w:pStyle w:val="Heading2"/>
        <w:spacing w:after="140" w:before="260"/>
      </w:pPr>
      <w:r>
        <w:rPr>
          <w:rFonts w:ascii="Cambria" w:cs="Cambria" w:eastAsia="Cambria" w:hAnsi="Cambria"/>
          <w:b/>
          <w:bCs/>
          <w:color w:val="028090"/>
          <w:sz w:val="24"/>
          <w:szCs w:val="24"/>
        </w:rPr>
        <w:t xml:space="preserve">4.7 Events, Notifications &amp;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226"/>
        <w:gridCol w:w="900"/>
      </w:tblGrid>
      <w:tr>
        <w:trPr>
          <w:tblHeader/>
        </w:trPr>
        <w:tc>
          <w:tcPr>
            <w:tcW w:type="dxa" w:w="900"/>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ID</w:t>
            </w:r>
          </w:p>
        </w:tc>
        <w:tc>
          <w:tcPr>
            <w:tcW w:type="dxa" w:w="7226"/>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Requirement</w:t>
            </w:r>
          </w:p>
        </w:tc>
        <w:tc>
          <w:tcPr>
            <w:tcW w:type="dxa" w:w="900"/>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Pri</w:t>
            </w:r>
          </w:p>
        </w:tc>
      </w:tr>
      <w:tr>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FR-35</w:t>
            </w:r>
          </w:p>
        </w:tc>
        <w:tc>
          <w:tcPr>
            <w:tcW w:type="dxa" w:w="7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Event page per pitch day: date, venue, presenting cohort, RSVP for angels</w:t>
            </w:r>
          </w:p>
        </w:tc>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S</w:t>
            </w:r>
          </w:p>
        </w:tc>
      </w:tr>
      <w:tr>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FR-36</w:t>
            </w:r>
          </w:p>
        </w:tc>
        <w:tc>
          <w:tcPr>
            <w:tcW w:type="dxa" w:w="72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Email notifications: signup approval, introduction requests and updates, screening outcome, event invitations</w:t>
            </w:r>
          </w:p>
        </w:tc>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FR-37</w:t>
            </w:r>
          </w:p>
        </w:tc>
        <w:tc>
          <w:tcPr>
            <w:tcW w:type="dxa" w:w="7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Admin console: user management, screening pipeline, introduction queue, outcome entry, content of controlled lists (sectors, domains)</w:t>
            </w:r>
          </w:p>
        </w:tc>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w:t>
            </w:r>
          </w:p>
        </w:tc>
      </w:tr>
      <w:tr>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FR-38</w:t>
            </w:r>
          </w:p>
        </w:tc>
        <w:tc>
          <w:tcPr>
            <w:tcW w:type="dxa" w:w="72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Audit log of admin actions (who changed what, when)</w:t>
            </w:r>
          </w:p>
        </w:tc>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S</w:t>
            </w:r>
          </w:p>
        </w:tc>
      </w:tr>
      <w:tr>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FR-39</w:t>
            </w:r>
          </w:p>
        </w:tc>
        <w:tc>
          <w:tcPr>
            <w:tcW w:type="dxa" w:w="7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WhatsApp notifications via business API</w:t>
            </w:r>
          </w:p>
        </w:tc>
        <w:tc>
          <w:tcPr>
            <w:tcW w:type="dxa" w:w="9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P2</w:t>
            </w:r>
          </w:p>
        </w:tc>
      </w:tr>
      <w:tr>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FR-40</w:t>
            </w:r>
          </w:p>
        </w:tc>
        <w:tc>
          <w:tcPr>
            <w:tcW w:type="dxa" w:w="72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In-platform messaging between matched parties</w:t>
            </w:r>
          </w:p>
        </w:tc>
        <w:tc>
          <w:tcPr>
            <w:tcW w:type="dxa" w:w="9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P2</w:t>
            </w:r>
          </w:p>
        </w:tc>
      </w:tr>
    </w:tbl>
    <w:p>
      <w:pPr>
        <w:pStyle w:val="Heading1"/>
        <w:spacing w:after="200" w:before="360"/>
      </w:pPr>
      <w:r>
        <w:rPr>
          <w:rFonts w:ascii="Cambria" w:cs="Cambria" w:eastAsia="Cambria" w:hAnsi="Cambria"/>
          <w:b/>
          <w:bCs/>
          <w:color w:val="1E2A38"/>
          <w:sz w:val="30"/>
          <w:szCs w:val="30"/>
        </w:rPr>
        <w:t xml:space="preserve">5.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Area</w:t>
            </w:r>
          </w:p>
        </w:tc>
        <w:tc>
          <w:tcPr>
            <w:tcW w:type="dxa" w:w="7226"/>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Requirement</w:t>
            </w:r>
          </w:p>
        </w:tc>
      </w:tr>
      <w:tr>
        <w:tc>
          <w:tcPr>
            <w:tcW w:type="dxa" w:w="18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Privacy &amp; DPDP</w:t>
            </w:r>
          </w:p>
        </w:tc>
        <w:tc>
          <w:tcPr>
            <w:tcW w:type="dxa" w:w="7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Compliance with the Digital Personal Data Protection Act, 2023: explicit consent at signup, stated purpose, data deletion on request, no sharing of profile data outside the platform without consent</w:t>
            </w:r>
          </w:p>
        </w:tc>
      </w:tr>
      <w:tr>
        <w:tc>
          <w:tcPr>
            <w:tcW w:type="dxa" w:w="18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Confidentiality</w:t>
            </w:r>
          </w:p>
        </w:tc>
        <w:tc>
          <w:tcPr>
            <w:tcW w:type="dxa" w:w="72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Declared investment amounts and screening scores are sensitive: role-based access enforced server-side; ₹ amounts never exposed beyond the FR-10 visibility setting; pitch decks accessible only to approved angels, watermarked with viewer identity (S)</w:t>
            </w:r>
          </w:p>
        </w:tc>
      </w:tr>
      <w:tr>
        <w:tc>
          <w:tcPr>
            <w:tcW w:type="dxa" w:w="18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Security</w:t>
            </w:r>
          </w:p>
        </w:tc>
        <w:tc>
          <w:tcPr>
            <w:tcW w:type="dxa" w:w="7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HTTPS throughout; OTP rate-limiting; admin actions behind 2FA; OWASP top-10 hygiene; no card/banking data stored (no payments in scope)</w:t>
            </w:r>
          </w:p>
        </w:tc>
      </w:tr>
      <w:tr>
        <w:tc>
          <w:tcPr>
            <w:tcW w:type="dxa" w:w="18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Availability</w:t>
            </w:r>
          </w:p>
        </w:tc>
        <w:tc>
          <w:tcPr>
            <w:tcW w:type="dxa" w:w="72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Target 99% uptime; the platform is not mission-critical infrastructure — a lightweight hosting setup is acceptable for MVP</w:t>
            </w:r>
          </w:p>
        </w:tc>
      </w:tr>
      <w:tr>
        <w:tc>
          <w:tcPr>
            <w:tcW w:type="dxa" w:w="18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Performance</w:t>
            </w:r>
          </w:p>
        </w:tc>
        <w:tc>
          <w:tcPr>
            <w:tcW w:type="dxa" w:w="7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Directory pages under 2 seconds at the expected scale (≤ 500 profiles in year one)</w:t>
            </w:r>
          </w:p>
        </w:tc>
      </w:tr>
      <w:tr>
        <w:tc>
          <w:tcPr>
            <w:tcW w:type="dxa" w:w="18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Backup &amp; export</w:t>
            </w:r>
          </w:p>
        </w:tc>
        <w:tc>
          <w:tcPr>
            <w:tcW w:type="dxa" w:w="72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Daily automated backup; admin can export all data to XLSX at any time (also the exit path if the platform choice changes)</w:t>
            </w:r>
          </w:p>
        </w:tc>
      </w:tr>
      <w:tr>
        <w:tc>
          <w:tcPr>
            <w:tcW w:type="dxa" w:w="18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Branding</w:t>
            </w:r>
          </w:p>
        </w:tc>
        <w:tc>
          <w:tcPr>
            <w:tcW w:type="dxa" w:w="7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GTECH Angels identity consistent with GTECH brand; mobile-responsive web (no native apps)</w:t>
            </w:r>
          </w:p>
        </w:tc>
      </w:tr>
    </w:tbl>
    <w:p>
      <w:pPr>
        <w:pStyle w:val="Heading1"/>
        <w:spacing w:after="200" w:before="360"/>
      </w:pPr>
      <w:r>
        <w:rPr>
          <w:rFonts w:ascii="Cambria" w:cs="Cambria" w:eastAsia="Cambria" w:hAnsi="Cambria"/>
          <w:b/>
          <w:bCs/>
          <w:color w:val="1E2A38"/>
          <w:sz w:val="30"/>
          <w:szCs w:val="30"/>
        </w:rPr>
        <w:t xml:space="preserve">6. Data Model (Overview)</w:t>
      </w:r>
    </w:p>
    <w:p>
      <w:pPr>
        <w:spacing w:after="160" w:line="276"/>
      </w:pPr>
      <w:r>
        <w:rPr>
          <w:rFonts w:ascii="Calibri" w:cs="Calibri" w:eastAsia="Calibri" w:hAnsi="Calibri"/>
          <w:color w:val="333333"/>
          <w:sz w:val="21"/>
          <w:szCs w:val="21"/>
        </w:rPr>
        <w:t xml:space="preserve">Seven core entities. Detailed field definitions follow the profile requirements in Sections 4.2–4.3.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4100"/>
        <w:gridCol w:w="3176"/>
      </w:tblGrid>
      <w:tr>
        <w:trPr>
          <w:tblHeader/>
        </w:trPr>
        <w:tc>
          <w:tcPr>
            <w:tcW w:type="dxa" w:w="1750"/>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Entity</w:t>
            </w:r>
          </w:p>
        </w:tc>
        <w:tc>
          <w:tcPr>
            <w:tcW w:type="dxa" w:w="4100"/>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Key fields</w:t>
            </w:r>
          </w:p>
        </w:tc>
        <w:tc>
          <w:tcPr>
            <w:tcW w:type="dxa" w:w="3176"/>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Relationships</w:t>
            </w:r>
          </w:p>
        </w:tc>
      </w:tr>
      <w:tr>
        <w:tc>
          <w:tcPr>
            <w:tcW w:type="dxa" w:w="175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Member (Angel)</w:t>
            </w:r>
          </w:p>
        </w:tc>
        <w:tc>
          <w:tcPr>
            <w:tcW w:type="dxa" w:w="41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Identity, region, expertise[], commitment ₹, ticket range, market-access offer, visibility setting</w:t>
            </w:r>
          </w:p>
        </w:tc>
        <w:tc>
          <w:tcPr>
            <w:tcW w:type="dxa" w:w="317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Has many Introductions, Investments, Partnerships</w:t>
            </w:r>
          </w:p>
        </w:tc>
      </w:tr>
      <w:tr>
        <w:tc>
          <w:tcPr>
            <w:tcW w:type="dxa" w:w="175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Startup</w:t>
            </w:r>
          </w:p>
        </w:tc>
        <w:tc>
          <w:tcPr>
            <w:tcW w:type="dxa" w:w="41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Identity, stage, sector, ICP, traction, ask ₹, help sought, deck</w:t>
            </w:r>
          </w:p>
        </w:tc>
        <w:tc>
          <w:tcPr>
            <w:tcW w:type="dxa" w:w="317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Has one ScreeningRecord; many Introductions, Investments, Partnerships</w:t>
            </w:r>
          </w:p>
        </w:tc>
      </w:tr>
      <w:tr>
        <w:tc>
          <w:tcPr>
            <w:tcW w:type="dxa" w:w="175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ScreeningRecord</w:t>
            </w:r>
          </w:p>
        </w:tc>
        <w:tc>
          <w:tcPr>
            <w:tcW w:type="dxa" w:w="41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State, scorecard values, screener, timestamps, notes</w:t>
            </w:r>
          </w:p>
        </w:tc>
        <w:tc>
          <w:tcPr>
            <w:tcW w:type="dxa" w:w="317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Belongs to Startup</w:t>
            </w:r>
          </w:p>
        </w:tc>
      </w:tr>
      <w:tr>
        <w:tc>
          <w:tcPr>
            <w:tcW w:type="dxa" w:w="175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Introduction</w:t>
            </w:r>
          </w:p>
        </w:tc>
        <w:tc>
          <w:tcPr>
            <w:tcW w:type="dxa" w:w="41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Requester, target, context note, state, timestamps</w:t>
            </w:r>
          </w:p>
        </w:tc>
        <w:tc>
          <w:tcPr>
            <w:tcW w:type="dxa" w:w="317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Links Member ↔ Startup; may lead to Investment or Partnership</w:t>
            </w:r>
          </w:p>
        </w:tc>
      </w:tr>
      <w:tr>
        <w:tc>
          <w:tcPr>
            <w:tcW w:type="dxa" w:w="175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Investment</w:t>
            </w:r>
          </w:p>
        </w:tc>
        <w:tc>
          <w:tcPr>
            <w:tcW w:type="dxa" w:w="41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Startup, angel(s), amount ₹, date, stage, source introduction</w:t>
            </w:r>
          </w:p>
        </w:tc>
        <w:tc>
          <w:tcPr>
            <w:tcW w:type="dxa" w:w="317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KPI 1 source of truth</w:t>
            </w:r>
          </w:p>
        </w:tc>
      </w:tr>
      <w:tr>
        <w:tc>
          <w:tcPr>
            <w:tcW w:type="dxa" w:w="175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Partnership</w:t>
            </w:r>
          </w:p>
        </w:tc>
        <w:tc>
          <w:tcPr>
            <w:tcW w:type="dxa" w:w="41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Startup, member company, type, date, description</w:t>
            </w:r>
          </w:p>
        </w:tc>
        <w:tc>
          <w:tcPr>
            <w:tcW w:type="dxa" w:w="317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KPI 2 source of truth</w:t>
            </w:r>
          </w:p>
        </w:tc>
      </w:tr>
      <w:tr>
        <w:tc>
          <w:tcPr>
            <w:tcW w:type="dxa" w:w="175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Event</w:t>
            </w:r>
          </w:p>
        </w:tc>
        <w:tc>
          <w:tcPr>
            <w:tcW w:type="dxa" w:w="41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Date, venue, cohort[], RSVPs[]</w:t>
            </w:r>
          </w:p>
        </w:tc>
        <w:tc>
          <w:tcPr>
            <w:tcW w:type="dxa" w:w="317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References Startups and Members</w:t>
            </w:r>
          </w:p>
        </w:tc>
      </w:tr>
    </w:tbl>
    <w:p>
      <w:pPr>
        <w:pStyle w:val="Heading1"/>
        <w:spacing w:after="200" w:before="360"/>
      </w:pPr>
      <w:r>
        <w:rPr>
          <w:rFonts w:ascii="Cambria" w:cs="Cambria" w:eastAsia="Cambria" w:hAnsi="Cambria"/>
          <w:b/>
          <w:bCs/>
          <w:color w:val="1E2A38"/>
          <w:sz w:val="30"/>
          <w:szCs w:val="30"/>
        </w:rPr>
        <w:t xml:space="preserve">7. Buy-vs-Build Considerations</w:t>
      </w:r>
    </w:p>
    <w:p>
      <w:pPr>
        <w:spacing w:after="160" w:line="276"/>
      </w:pPr>
      <w:r>
        <w:rPr>
          <w:rFonts w:ascii="Calibri" w:cs="Calibri" w:eastAsia="Calibri" w:hAnsi="Calibri"/>
          <w:color w:val="333333"/>
          <w:sz w:val="21"/>
          <w:szCs w:val="21"/>
        </w:rPr>
        <w:t xml:space="preserve">The buy-or-build decision (Action Plan, Week 2) should be made against this specification. Three realistic options, with the trade-offs the core team should weigh: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700"/>
        <w:gridCol w:w="2726"/>
      </w:tblGrid>
      <w:tr>
        <w:trPr>
          <w:tblHeader/>
        </w:trPr>
        <w:tc>
          <w:tcPr>
            <w:tcW w:type="dxa" w:w="1500"/>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Option</w:t>
            </w:r>
          </w:p>
        </w:tc>
        <w:tc>
          <w:tcPr>
            <w:tcW w:type="dxa" w:w="2100"/>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Examples</w:t>
            </w:r>
          </w:p>
        </w:tc>
        <w:tc>
          <w:tcPr>
            <w:tcW w:type="dxa" w:w="2700"/>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Strengths</w:t>
            </w:r>
          </w:p>
        </w:tc>
        <w:tc>
          <w:tcPr>
            <w:tcW w:type="dxa" w:w="2726"/>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Watch-outs</w:t>
            </w:r>
          </w:p>
        </w:tc>
      </w:tr>
      <w:tr>
        <w:tc>
          <w:tcPr>
            <w:tcW w:type="dxa" w:w="15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No-code stack</w:t>
            </w:r>
          </w:p>
        </w:tc>
        <w:tc>
          <w:tcPr>
            <w:tcW w:type="dxa" w:w="21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Airtable + Softr / Glide / Bubble</w:t>
            </w:r>
          </w:p>
        </w:tc>
        <w:tc>
          <w:tcPr>
            <w:tcW w:type="dxa" w:w="27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Live in 2–3 weeks; core team can maintain without a developer; low cost</w:t>
            </w:r>
          </w:p>
        </w:tc>
        <w:tc>
          <w:tcPr>
            <w:tcW w:type="dxa" w:w="27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Visibility rules (FR-10) and role-based access need careful configuration; per-user pricing can climb</w:t>
            </w:r>
          </w:p>
        </w:tc>
      </w:tr>
      <w:tr>
        <w:tc>
          <w:tcPr>
            <w:tcW w:type="dxa" w:w="15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Ready platforms</w:t>
            </w:r>
          </w:p>
        </w:tc>
        <w:tc>
          <w:tcPr>
            <w:tcW w:type="dxa" w:w="21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Deal-flow / community platforms with white-labelling</w:t>
            </w:r>
          </w:p>
        </w:tc>
        <w:tc>
          <w:tcPr>
            <w:tcW w:type="dxa" w:w="27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Screening pipelines and directories pre-built</w:t>
            </w:r>
          </w:p>
        </w:tc>
        <w:tc>
          <w:tcPr>
            <w:tcW w:type="dxa" w:w="27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Monthly cost; data residency and export; India-specific fit varies</w:t>
            </w:r>
          </w:p>
        </w:tc>
      </w:tr>
      <w:tr>
        <w:tc>
          <w:tcPr>
            <w:tcW w:type="dxa" w:w="15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Custom build</w:t>
            </w:r>
          </w:p>
        </w:tc>
        <w:tc>
          <w:tcPr>
            <w:tcW w:type="dxa" w:w="21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Built by a member company (several core team companies could)</w:t>
            </w:r>
          </w:p>
        </w:tc>
        <w:tc>
          <w:tcPr>
            <w:tcW w:type="dxa" w:w="27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Exact fit to this spec; full data ownership; showcases member capability</w:t>
            </w:r>
          </w:p>
        </w:tc>
        <w:tc>
          <w:tcPr>
            <w:tcW w:type="dxa" w:w="27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Longest timeline; maintenance depends on one volunteer company — needs a named maintenance commitment, not goodwill</w:t>
            </w:r>
          </w:p>
        </w:tc>
      </w:tr>
    </w:tbl>
    <w:p>
      <w:pPr>
        <w:spacing w:after="160" w:line="276"/>
      </w:pPr>
      <w:r>
        <w:rPr>
          <w:rFonts w:ascii="Calibri" w:cs="Calibri" w:eastAsia="Calibri" w:hAnsi="Calibri"/>
          <w:b/>
          <w:bCs/>
          <w:color w:val="333333"/>
          <w:sz w:val="21"/>
          <w:szCs w:val="21"/>
        </w:rPr>
        <w:t xml:space="preserve">Recommendation (judgment call): </w:t>
      </w:r>
      <w:r>
        <w:rPr>
          <w:rFonts w:ascii="Calibri" w:cs="Calibri" w:eastAsia="Calibri" w:hAnsi="Calibri"/>
          <w:color w:val="333333"/>
          <w:sz w:val="21"/>
          <w:szCs w:val="21"/>
        </w:rPr>
        <w:t xml:space="preserve">start with the no-code stack to hit the Week 5–8 onboarding window, structured so data exports cleanly (NFR: Backup &amp; export) if the team later commissions a custom build. Reverse this if a member company commits, in writing, to build and maintain the custom option within the same timeline.</w:t>
      </w:r>
    </w:p>
    <w:p>
      <w:pPr>
        <w:pStyle w:val="Heading1"/>
        <w:spacing w:after="200" w:before="360"/>
      </w:pPr>
      <w:r>
        <w:rPr>
          <w:rFonts w:ascii="Cambria" w:cs="Cambria" w:eastAsia="Cambria" w:hAnsi="Cambria"/>
          <w:b/>
          <w:bCs/>
          <w:color w:val="1E2A38"/>
          <w:sz w:val="30"/>
          <w:szCs w:val="30"/>
        </w:rPr>
        <w:t xml:space="preserve">8. Rollout Alignment</w:t>
      </w:r>
    </w:p>
    <w:p>
      <w:pPr>
        <w:pStyle w:val="ListParagraph"/>
        <w:numPr>
          <w:ilvl w:val="0"/>
          <w:numId w:val="2"/>
        </w:numPr>
        <w:spacing w:after="80" w:line="276"/>
      </w:pPr>
      <w:r>
        <w:rPr>
          <w:rFonts w:ascii="Calibri" w:cs="Calibri" w:eastAsia="Calibri" w:hAnsi="Calibri"/>
          <w:color w:val="333333"/>
          <w:sz w:val="21"/>
          <w:szCs w:val="21"/>
        </w:rPr>
        <w:t xml:space="preserve">Weeks 1–2: this PRS reviewed and frozen; buy-vs-build decided; visibility and screening open items (Section 10) closed</w:t>
      </w:r>
    </w:p>
    <w:p>
      <w:pPr>
        <w:pStyle w:val="ListParagraph"/>
        <w:numPr>
          <w:ilvl w:val="0"/>
          <w:numId w:val="2"/>
        </w:numPr>
        <w:spacing w:after="80" w:line="276"/>
      </w:pPr>
      <w:r>
        <w:rPr>
          <w:rFonts w:ascii="Calibri" w:cs="Calibri" w:eastAsia="Calibri" w:hAnsi="Calibri"/>
          <w:color w:val="333333"/>
          <w:sz w:val="21"/>
          <w:szCs w:val="21"/>
        </w:rPr>
        <w:t xml:space="preserve">Weeks 3–4: platform configured / development begins; controlled lists (sectors, domains) finalised; test profiles created by core team</w:t>
      </w:r>
    </w:p>
    <w:p>
      <w:pPr>
        <w:pStyle w:val="ListParagraph"/>
        <w:numPr>
          <w:ilvl w:val="0"/>
          <w:numId w:val="2"/>
        </w:numPr>
        <w:spacing w:after="80" w:line="276"/>
      </w:pPr>
      <w:r>
        <w:rPr>
          <w:rFonts w:ascii="Calibri" w:cs="Calibri" w:eastAsia="Calibri" w:hAnsi="Calibri"/>
          <w:color w:val="333333"/>
          <w:sz w:val="21"/>
          <w:szCs w:val="21"/>
        </w:rPr>
        <w:t xml:space="preserve">Week 5: soft launch to core team + first 10 friendly angels; communication rollout to GTECH members</w:t>
      </w:r>
    </w:p>
    <w:p>
      <w:pPr>
        <w:pStyle w:val="ListParagraph"/>
        <w:numPr>
          <w:ilvl w:val="0"/>
          <w:numId w:val="2"/>
        </w:numPr>
        <w:spacing w:after="80" w:line="276"/>
      </w:pPr>
      <w:r>
        <w:rPr>
          <w:rFonts w:ascii="Calibri" w:cs="Calibri" w:eastAsia="Calibri" w:hAnsi="Calibri"/>
          <w:color w:val="333333"/>
          <w:sz w:val="21"/>
          <w:szCs w:val="21"/>
        </w:rPr>
        <w:t xml:space="preserve">Weeks 5–8: regional onboarding drives; screening pipeline live</w:t>
      </w:r>
    </w:p>
    <w:p>
      <w:pPr>
        <w:pStyle w:val="ListParagraph"/>
        <w:numPr>
          <w:ilvl w:val="0"/>
          <w:numId w:val="2"/>
        </w:numPr>
        <w:spacing w:after="80" w:line="276"/>
      </w:pPr>
      <w:r>
        <w:rPr>
          <w:rFonts w:ascii="Calibri" w:cs="Calibri" w:eastAsia="Calibri" w:hAnsi="Calibri"/>
          <w:color w:val="333333"/>
          <w:sz w:val="21"/>
          <w:szCs w:val="21"/>
        </w:rPr>
        <w:t xml:space="preserve">Weeks 9–12: first pitch cohort curated from the platform; pitch day RSVPs and outcomes recorded; first KPI report to EC from dashboard data</w:t>
      </w:r>
    </w:p>
    <w:p>
      <w:pPr>
        <w:pStyle w:val="Heading1"/>
        <w:spacing w:after="200" w:before="360"/>
      </w:pPr>
      <w:r>
        <w:rPr>
          <w:rFonts w:ascii="Cambria" w:cs="Cambria" w:eastAsia="Cambria" w:hAnsi="Cambria"/>
          <w:b/>
          <w:bCs/>
          <w:color w:val="1E2A38"/>
          <w:sz w:val="30"/>
          <w:szCs w:val="30"/>
        </w:rPr>
        <w:t xml:space="preserve">9. Assumptions</w:t>
      </w:r>
    </w:p>
    <w:p>
      <w:pPr>
        <w:pStyle w:val="ListParagraph"/>
        <w:numPr>
          <w:ilvl w:val="0"/>
          <w:numId w:val="2"/>
        </w:numPr>
        <w:spacing w:after="80" w:line="276"/>
      </w:pPr>
      <w:r>
        <w:rPr>
          <w:rFonts w:ascii="Calibri" w:cs="Calibri" w:eastAsia="Calibri" w:hAnsi="Calibri"/>
          <w:color w:val="333333"/>
          <w:sz w:val="21"/>
          <w:szCs w:val="21"/>
        </w:rPr>
        <w:t xml:space="preserve">The platform records commitments and outcomes only; no funds flow through it, keeping it outside payment regulation.</w:t>
      </w:r>
    </w:p>
    <w:p>
      <w:pPr>
        <w:pStyle w:val="ListParagraph"/>
        <w:numPr>
          <w:ilvl w:val="0"/>
          <w:numId w:val="2"/>
        </w:numPr>
        <w:spacing w:after="80" w:line="276"/>
      </w:pPr>
      <w:r>
        <w:rPr>
          <w:rFonts w:ascii="Calibri" w:cs="Calibri" w:eastAsia="Calibri" w:hAnsi="Calibri"/>
          <w:color w:val="333333"/>
          <w:sz w:val="21"/>
          <w:szCs w:val="21"/>
        </w:rPr>
        <w:t xml:space="preserve">The GTECH member register is available to verify angel signups (coordination with the Secretariat / Mathson).</w:t>
      </w:r>
    </w:p>
    <w:p>
      <w:pPr>
        <w:pStyle w:val="ListParagraph"/>
        <w:numPr>
          <w:ilvl w:val="0"/>
          <w:numId w:val="2"/>
        </w:numPr>
        <w:spacing w:after="80" w:line="276"/>
      </w:pPr>
      <w:r>
        <w:rPr>
          <w:rFonts w:ascii="Calibri" w:cs="Calibri" w:eastAsia="Calibri" w:hAnsi="Calibri"/>
          <w:color w:val="333333"/>
          <w:sz w:val="21"/>
          <w:szCs w:val="21"/>
        </w:rPr>
        <w:t xml:space="preserve">Year-one scale: roughly 50–100 angels and 100–200 startup applications; the architecture need not exceed this.</w:t>
      </w:r>
    </w:p>
    <w:p>
      <w:pPr>
        <w:pStyle w:val="ListParagraph"/>
        <w:numPr>
          <w:ilvl w:val="0"/>
          <w:numId w:val="2"/>
        </w:numPr>
        <w:spacing w:after="80" w:line="276"/>
      </w:pPr>
      <w:r>
        <w:rPr>
          <w:rFonts w:ascii="Calibri" w:cs="Calibri" w:eastAsia="Calibri" w:hAnsi="Calibri"/>
          <w:color w:val="333333"/>
          <w:sz w:val="21"/>
          <w:szCs w:val="21"/>
        </w:rPr>
        <w:t xml:space="preserve">The legal review of the investment model (individual vs syndicate) may add requirements; syndicate tooling is parked in Phase 2 pending that review.</w:t>
      </w:r>
    </w:p>
    <w:p>
      <w:pPr>
        <w:pStyle w:val="ListParagraph"/>
        <w:numPr>
          <w:ilvl w:val="0"/>
          <w:numId w:val="2"/>
        </w:numPr>
        <w:spacing w:after="80" w:line="276"/>
      </w:pPr>
      <w:r>
        <w:rPr>
          <w:rFonts w:ascii="Calibri" w:cs="Calibri" w:eastAsia="Calibri" w:hAnsi="Calibri"/>
          <w:color w:val="333333"/>
          <w:sz w:val="21"/>
          <w:szCs w:val="21"/>
        </w:rPr>
        <w:t xml:space="preserve">English is the platform language for MVP.</w:t>
      </w:r>
    </w:p>
    <w:p>
      <w:pPr>
        <w:pStyle w:val="Heading1"/>
        <w:spacing w:after="200" w:before="360"/>
      </w:pPr>
      <w:r>
        <w:rPr>
          <w:rFonts w:ascii="Cambria" w:cs="Cambria" w:eastAsia="Cambria" w:hAnsi="Cambria"/>
          <w:b/>
          <w:bCs/>
          <w:color w:val="1E2A38"/>
          <w:sz w:val="30"/>
          <w:szCs w:val="30"/>
        </w:rPr>
        <w:t xml:space="preserve">10. Open Questions for the Core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100"/>
        <w:gridCol w:w="2226"/>
      </w:tblGrid>
      <w:tr>
        <w:trPr>
          <w:tblHeader/>
        </w:trPr>
        <w:tc>
          <w:tcPr>
            <w:tcW w:type="dxa" w:w="700"/>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w:t>
            </w:r>
          </w:p>
        </w:tc>
        <w:tc>
          <w:tcPr>
            <w:tcW w:type="dxa" w:w="6100"/>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Question</w:t>
            </w:r>
          </w:p>
        </w:tc>
        <w:tc>
          <w:tcPr>
            <w:tcW w:type="dxa" w:w="2226"/>
            <w:tcBorders>
              <w:top w:val="single" w:color="C9D4D9" w:sz="4"/>
              <w:left w:val="single" w:color="C9D4D9" w:sz="4"/>
              <w:bottom w:val="single" w:color="C9D4D9" w:sz="4"/>
              <w:right w:val="single" w:color="C9D4D9" w:sz="4"/>
            </w:tcBorders>
            <w:shd w:fill="028090" w:val="clear"/>
            <w:tcMar>
              <w:top w:type="dxa" w:w="60"/>
              <w:left w:type="dxa" w:w="80"/>
              <w:bottom w:type="dxa" w:w="60"/>
              <w:right w:type="dxa" w:w="80"/>
            </w:tcMar>
          </w:tcPr>
          <w:p>
            <w:r>
              <w:rPr>
                <w:rFonts w:ascii="Calibri" w:cs="Calibri" w:eastAsia="Calibri" w:hAnsi="Calibri"/>
                <w:b/>
                <w:bCs/>
                <w:color w:val="FFFFFF"/>
                <w:sz w:val="19"/>
                <w:szCs w:val="19"/>
              </w:rPr>
              <w:t xml:space="preserve">Owner to close</w:t>
            </w:r>
          </w:p>
        </w:tc>
      </w:tr>
      <w:tr>
        <w:tc>
          <w:tcPr>
            <w:tcW w:type="dxa" w:w="7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1</w:t>
            </w:r>
          </w:p>
        </w:tc>
        <w:tc>
          <w:tcPr>
            <w:tcW w:type="dxa" w:w="61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Default visibility of angel ₹ commitments: exact amount, band, or admin-only? (FR-10 default currently: band)</w:t>
            </w:r>
          </w:p>
        </w:tc>
        <w:tc>
          <w:tcPr>
            <w:tcW w:type="dxa" w:w="2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Full core team</w:t>
            </w:r>
          </w:p>
        </w:tc>
      </w:tr>
      <w:tr>
        <w:tc>
          <w:tcPr>
            <w:tcW w:type="dxa" w:w="7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2</w:t>
            </w:r>
          </w:p>
        </w:tc>
        <w:tc>
          <w:tcPr>
            <w:tcW w:type="dxa" w:w="61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Do startups see the angel directory, or only receive curated matches? (FR-25 currently: they see it)</w:t>
            </w:r>
          </w:p>
        </w:tc>
        <w:tc>
          <w:tcPr>
            <w:tcW w:type="dxa" w:w="22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Full core team</w:t>
            </w:r>
          </w:p>
        </w:tc>
      </w:tr>
      <w:tr>
        <w:tc>
          <w:tcPr>
            <w:tcW w:type="dxa" w:w="7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3</w:t>
            </w:r>
          </w:p>
        </w:tc>
        <w:tc>
          <w:tcPr>
            <w:tcW w:type="dxa" w:w="61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Introduction flow: admin-facilitated for every intro (higher quality, more work) or direct after mutual opt-in?</w:t>
            </w:r>
          </w:p>
        </w:tc>
        <w:tc>
          <w:tcPr>
            <w:tcW w:type="dxa" w:w="2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Communication &amp; Coordination</w:t>
            </w:r>
          </w:p>
        </w:tc>
      </w:tr>
      <w:tr>
        <w:tc>
          <w:tcPr>
            <w:tcW w:type="dxa" w:w="7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4</w:t>
            </w:r>
          </w:p>
        </w:tc>
        <w:tc>
          <w:tcPr>
            <w:tcW w:type="dxa" w:w="61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Screening scorecard criteria and pass threshold</w:t>
            </w:r>
          </w:p>
        </w:tc>
        <w:tc>
          <w:tcPr>
            <w:tcW w:type="dxa" w:w="22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Deal Screening &amp; Due Diligence</w:t>
            </w:r>
          </w:p>
        </w:tc>
      </w:tr>
      <w:tr>
        <w:tc>
          <w:tcPr>
            <w:tcW w:type="dxa" w:w="7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5</w:t>
            </w:r>
          </w:p>
        </w:tc>
        <w:tc>
          <w:tcPr>
            <w:tcW w:type="dxa" w:w="61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Minimum ticket size for angels to sign up, if any</w:t>
            </w:r>
          </w:p>
        </w:tc>
        <w:tc>
          <w:tcPr>
            <w:tcW w:type="dxa" w:w="2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Angel Outreach owners</w:t>
            </w:r>
          </w:p>
        </w:tc>
      </w:tr>
      <w:tr>
        <w:tc>
          <w:tcPr>
            <w:tcW w:type="dxa" w:w="7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bCs/>
                <w:color w:val="333333"/>
                <w:sz w:val="19"/>
                <w:szCs w:val="19"/>
              </w:rPr>
              <w:t xml:space="preserve">6</w:t>
            </w:r>
          </w:p>
        </w:tc>
        <w:tc>
          <w:tcPr>
            <w:tcW w:type="dxa" w:w="6100"/>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Is a startup fee ever charged (now or later)? Affects positioning with ecosystem partners</w:t>
            </w:r>
          </w:p>
        </w:tc>
        <w:tc>
          <w:tcPr>
            <w:tcW w:type="dxa" w:w="2226"/>
            <w:tcBorders>
              <w:top w:val="single" w:color="C9D4D9" w:sz="4"/>
              <w:left w:val="single" w:color="C9D4D9" w:sz="4"/>
              <w:bottom w:val="single" w:color="C9D4D9" w:sz="4"/>
              <w:right w:val="single" w:color="C9D4D9" w:sz="4"/>
            </w:tcBorders>
            <w:shd w:fill="F4F8F9"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Full core team</w:t>
            </w:r>
          </w:p>
        </w:tc>
      </w:tr>
      <w:tr>
        <w:tc>
          <w:tcPr>
            <w:tcW w:type="dxa" w:w="7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bCs/>
                <w:color w:val="333333"/>
                <w:sz w:val="19"/>
                <w:szCs w:val="19"/>
              </w:rPr>
              <w:t xml:space="preserve">7</w:t>
            </w:r>
          </w:p>
        </w:tc>
        <w:tc>
          <w:tcPr>
            <w:tcW w:type="dxa" w:w="6100"/>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Platform budget ceiling for MVP (drives buy-vs-build)</w:t>
            </w:r>
          </w:p>
        </w:tc>
        <w:tc>
          <w:tcPr>
            <w:tcW w:type="dxa" w:w="2226"/>
            <w:tcBorders>
              <w:top w:val="single" w:color="C9D4D9" w:sz="4"/>
              <w:left w:val="single" w:color="C9D4D9" w:sz="4"/>
              <w:bottom w:val="single" w:color="C9D4D9" w:sz="4"/>
              <w:right w:val="single" w:color="C9D4D9" w:sz="4"/>
            </w:tcBorders>
            <w:shd w:fill="FFFFFF" w:val="clear"/>
            <w:tcMar>
              <w:top w:type="dxa" w:w="50"/>
              <w:left w:type="dxa" w:w="80"/>
              <w:bottom w:type="dxa" w:w="50"/>
              <w:right w:type="dxa" w:w="80"/>
            </w:tcMar>
          </w:tcPr>
          <w:p>
            <w:r>
              <w:rPr>
                <w:rFonts w:ascii="Calibri" w:cs="Calibri" w:eastAsia="Calibri" w:hAnsi="Calibri"/>
                <w:b w:val="false"/>
                <w:bCs w:val="false"/>
                <w:color w:val="333333"/>
                <w:sz w:val="19"/>
                <w:szCs w:val="19"/>
              </w:rPr>
              <w:t xml:space="preserve">Focus Group Lead / EC</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2026-07-28T07:03:42.581Z</dcterms:created>
  <dcterms:modified xsi:type="dcterms:W3CDTF">2026-07-28T07:03:42.597Z</dcterms:modified>
</cp:coreProperties>
</file>

<file path=docProps/custom.xml><?xml version="1.0" encoding="utf-8"?>
<Properties xmlns="http://schemas.openxmlformats.org/officeDocument/2006/custom-properties" xmlns:vt="http://schemas.openxmlformats.org/officeDocument/2006/docPropsVTypes"/>
</file>