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B151" w14:textId="77777777" w:rsidR="005B6E0D" w:rsidRDefault="00000000">
      <w:pPr>
        <w:spacing w:after="80"/>
      </w:pPr>
      <w:r>
        <w:rPr>
          <w:b/>
          <w:bCs/>
          <w:sz w:val="44"/>
          <w:szCs w:val="44"/>
        </w:rPr>
        <w:t>Compute as a Financial Asset Class</w:t>
      </w:r>
    </w:p>
    <w:p w14:paraId="6000CE1C" w14:textId="77777777" w:rsidR="00AD40E1" w:rsidRDefault="00AD40E1">
      <w:pPr>
        <w:spacing w:after="160" w:line="276" w:lineRule="auto"/>
        <w:rPr>
          <w:color w:val="555555"/>
          <w:sz w:val="26"/>
          <w:szCs w:val="26"/>
        </w:rPr>
      </w:pPr>
    </w:p>
    <w:p w14:paraId="75156F52" w14:textId="3BC7186C" w:rsidR="005B6E0D" w:rsidRDefault="00000000">
      <w:pPr>
        <w:spacing w:after="160" w:line="276" w:lineRule="auto"/>
      </w:pPr>
      <w:r>
        <w:rPr>
          <w:i/>
          <w:iCs/>
        </w:rPr>
        <w:t xml:space="preserve">How to use this document: </w:t>
      </w:r>
      <w:r>
        <w:t>Part 1 explains the compute market in ordinary language — no finance or ML background assumed. Part 2 hands you a reasoning toolkit so you can derive conclusions yourself rather than memorising them. Throughout, claims that rest on a verifiable source are linked. Where a number is an estimate, a forecast, or scraped from a company's marketing page, it is flagged as such — treat those as directional, not as 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6E0D" w14:paraId="020C9ADC" w14:textId="77777777">
        <w:tblPrEx>
          <w:tblCellMar>
            <w:top w:w="0" w:type="dxa"/>
            <w:bottom w:w="0" w:type="dxa"/>
          </w:tblCellMar>
        </w:tblPrEx>
        <w:tc>
          <w:tcPr>
            <w:tcW w:w="9360" w:type="dxa"/>
            <w:tcBorders>
              <w:top w:val="single" w:sz="6" w:space="0" w:color="2E6DB4"/>
              <w:left w:val="single" w:sz="6" w:space="0" w:color="2E6DB4"/>
              <w:bottom w:val="single" w:sz="6" w:space="0" w:color="2E6DB4"/>
              <w:right w:val="single" w:sz="6" w:space="0" w:color="2E6DB4"/>
            </w:tcBorders>
            <w:shd w:val="clear" w:color="auto" w:fill="EEF4FB"/>
            <w:tcMar>
              <w:top w:w="120" w:type="dxa"/>
              <w:left w:w="160" w:type="dxa"/>
              <w:bottom w:w="120" w:type="dxa"/>
              <w:right w:w="160" w:type="dxa"/>
            </w:tcMar>
          </w:tcPr>
          <w:p w14:paraId="525C804B" w14:textId="77777777" w:rsidR="005B6E0D" w:rsidRDefault="00000000">
            <w:pPr>
              <w:spacing w:after="80"/>
            </w:pPr>
            <w:r>
              <w:rPr>
                <w:b/>
                <w:bCs/>
                <w:color w:val="2E6DB4"/>
              </w:rPr>
              <w:t>A note on the three starting companies</w:t>
            </w:r>
          </w:p>
          <w:p w14:paraId="41B29F7A" w14:textId="77777777" w:rsidR="005B6E0D" w:rsidRDefault="00000000">
            <w:pPr>
              <w:spacing w:after="60" w:line="270" w:lineRule="auto"/>
            </w:pPr>
            <w:r>
              <w:rPr>
                <w:b/>
                <w:bCs/>
              </w:rPr>
              <w:t xml:space="preserve">They are not three of a kind. </w:t>
            </w:r>
            <w:r>
              <w:t xml:space="preserve">Architect, </w:t>
            </w:r>
            <w:proofErr w:type="spellStart"/>
            <w:r>
              <w:t>Bittensor</w:t>
            </w:r>
            <w:proofErr w:type="spellEnd"/>
            <w:r>
              <w:t xml:space="preserve">, and </w:t>
            </w:r>
            <w:proofErr w:type="spellStart"/>
            <w:r>
              <w:t>FalconX</w:t>
            </w:r>
            <w:proofErr w:type="spellEnd"/>
            <w:r>
              <w:t xml:space="preserve"> sit at different layers of the same story, and only one is a compute provider in any literal sense. The honest connective thesis is not “three GPU companies” — it is that compute is being turned into a tradable financial asset, and each company represents a different mechanism for doing so:</w:t>
            </w:r>
          </w:p>
          <w:p w14:paraId="7C9CEA2D" w14:textId="77777777" w:rsidR="005B6E0D" w:rsidRDefault="00000000">
            <w:pPr>
              <w:spacing w:after="60" w:line="270" w:lineRule="auto"/>
            </w:pPr>
            <w:r>
              <w:rPr>
                <w:b/>
                <w:bCs/>
              </w:rPr>
              <w:t xml:space="preserve">Architect </w:t>
            </w:r>
            <w:r>
              <w:t xml:space="preserve">(architect.co) — a CFTC-regulated derivatives exchange building futures and options on GPU rental prices (plus energy, power, and metals in the AI supply chain). This is the </w:t>
            </w:r>
            <w:r>
              <w:rPr>
                <w:b/>
                <w:bCs/>
              </w:rPr>
              <w:t>exchange / price-discovery layer.</w:t>
            </w:r>
          </w:p>
          <w:p w14:paraId="2AD0BEE7" w14:textId="77777777" w:rsidR="005B6E0D" w:rsidRDefault="00000000">
            <w:pPr>
              <w:spacing w:after="60" w:line="270" w:lineRule="auto"/>
            </w:pPr>
            <w:proofErr w:type="spellStart"/>
            <w:r>
              <w:rPr>
                <w:b/>
                <w:bCs/>
              </w:rPr>
              <w:t>Bittensor</w:t>
            </w:r>
            <w:proofErr w:type="spellEnd"/>
            <w:r>
              <w:rPr>
                <w:b/>
                <w:bCs/>
              </w:rPr>
              <w:t xml:space="preserve"> </w:t>
            </w:r>
            <w:r>
              <w:t xml:space="preserve">(TAO) — a crypto protocol that pays a token for useful machine-intelligence outputs, coordinated by miners and validators. This is an </w:t>
            </w:r>
            <w:r>
              <w:rPr>
                <w:b/>
                <w:bCs/>
              </w:rPr>
              <w:t>alternative market structure</w:t>
            </w:r>
            <w:r>
              <w:t xml:space="preserve"> for producing AI, not a </w:t>
            </w:r>
            <w:proofErr w:type="spellStart"/>
            <w:r>
              <w:t>compute</w:t>
            </w:r>
            <w:proofErr w:type="spellEnd"/>
            <w:r>
              <w:t xml:space="preserve"> vendor.</w:t>
            </w:r>
          </w:p>
          <w:p w14:paraId="253875D1" w14:textId="77777777" w:rsidR="005B6E0D" w:rsidRDefault="00000000">
            <w:pPr>
              <w:spacing w:after="60" w:line="270" w:lineRule="auto"/>
            </w:pPr>
            <w:proofErr w:type="spellStart"/>
            <w:r>
              <w:rPr>
                <w:b/>
                <w:bCs/>
              </w:rPr>
              <w:t>FalconX</w:t>
            </w:r>
            <w:proofErr w:type="spellEnd"/>
            <w:r>
              <w:rPr>
                <w:b/>
                <w:bCs/>
              </w:rPr>
              <w:t xml:space="preserve"> </w:t>
            </w:r>
            <w:r>
              <w:t xml:space="preserve">— an institutional crypto prime broker (execution, credit, custody, financing). It sells no compute at all. Its role in the thesis is as </w:t>
            </w:r>
            <w:r>
              <w:rPr>
                <w:b/>
                <w:bCs/>
              </w:rPr>
              <w:t>financial plumbing</w:t>
            </w:r>
            <w:r>
              <w:t xml:space="preserve"> — the institutional rails any new asset class needs, and a working </w:t>
            </w:r>
            <w:proofErr w:type="spellStart"/>
            <w:r>
              <w:t>analog</w:t>
            </w:r>
            <w:proofErr w:type="spellEnd"/>
            <w:r>
              <w:t xml:space="preserve"> for how a novel asset gets financialised.</w:t>
            </w:r>
          </w:p>
        </w:tc>
      </w:tr>
    </w:tbl>
    <w:p w14:paraId="389DABC9" w14:textId="77777777" w:rsidR="005B6E0D" w:rsidRDefault="00000000">
      <w:r>
        <w:br w:type="page"/>
      </w:r>
    </w:p>
    <w:p w14:paraId="13D40AE7" w14:textId="77777777" w:rsidR="005B6E0D" w:rsidRDefault="00000000">
      <w:pPr>
        <w:pStyle w:val="Heading1"/>
      </w:pPr>
      <w:r>
        <w:lastRenderedPageBreak/>
        <w:t>Part 1 — The Compute Market, in Plain English</w:t>
      </w:r>
    </w:p>
    <w:p w14:paraId="48B2F1F8" w14:textId="77777777" w:rsidR="005B6E0D" w:rsidRDefault="00000000">
      <w:pPr>
        <w:pStyle w:val="Heading2"/>
      </w:pPr>
      <w:proofErr w:type="gramStart"/>
      <w:r>
        <w:t>1.1  What</w:t>
      </w:r>
      <w:proofErr w:type="gramEnd"/>
      <w:r>
        <w:t xml:space="preserve"> is “compute” and why does it have a price?</w:t>
      </w:r>
    </w:p>
    <w:p w14:paraId="13F99DD3" w14:textId="77777777" w:rsidR="005B6E0D" w:rsidRDefault="00000000">
      <w:pPr>
        <w:spacing w:after="160" w:line="276" w:lineRule="auto"/>
      </w:pPr>
      <w:r>
        <w:t>“Compute” is shorthand for the processing power needed to train and run AI models. In practice today it means time on specialised chips — mostly Nvidia GPUs (graphics processing units) such as the H100, H200, and the newer Blackwell B200 and B300. Training a large model and then serving it to users both consume enormous amounts of this chip-time.</w:t>
      </w:r>
    </w:p>
    <w:p w14:paraId="6A285C40" w14:textId="77777777" w:rsidR="005B6E0D" w:rsidRDefault="00000000">
      <w:pPr>
        <w:spacing w:after="160" w:line="276" w:lineRule="auto"/>
      </w:pPr>
      <w:r>
        <w:t xml:space="preserve">Because the chips are scarce, expensive, and power-hungry, access to them is rented by the hour. The standard unit is the </w:t>
      </w:r>
      <w:r>
        <w:rPr>
          <w:b/>
          <w:bCs/>
        </w:rPr>
        <w:t>GPU-hour</w:t>
      </w:r>
      <w:r>
        <w:t>: one GPU running for one hour. If you rent 1,000 GPUs for 30 days, you have consumed roughly 720,000 GPU-hours. A price per GPU-hour (say, “$2.50/GPU-hr for an H200”) is therefore the fundamental unit price of AI production — the closest thing the industry has to a “price of a barrel of oil.”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6E0D" w14:paraId="49D47E49" w14:textId="77777777">
        <w:tblPrEx>
          <w:tblCellMar>
            <w:top w:w="0" w:type="dxa"/>
            <w:bottom w:w="0" w:type="dxa"/>
          </w:tblCellMar>
        </w:tblPrEx>
        <w:tc>
          <w:tcPr>
            <w:tcW w:w="9360" w:type="dxa"/>
            <w:tcBorders>
              <w:top w:val="single" w:sz="6" w:space="0" w:color="2E6DB4"/>
              <w:left w:val="single" w:sz="6" w:space="0" w:color="2E6DB4"/>
              <w:bottom w:val="single" w:sz="6" w:space="0" w:color="2E6DB4"/>
              <w:right w:val="single" w:sz="6" w:space="0" w:color="2E6DB4"/>
            </w:tcBorders>
            <w:shd w:val="clear" w:color="auto" w:fill="EEF4FB"/>
            <w:tcMar>
              <w:top w:w="120" w:type="dxa"/>
              <w:left w:w="160" w:type="dxa"/>
              <w:bottom w:w="120" w:type="dxa"/>
              <w:right w:w="160" w:type="dxa"/>
            </w:tcMar>
          </w:tcPr>
          <w:p w14:paraId="2967F0B9" w14:textId="77777777" w:rsidR="005B6E0D" w:rsidRDefault="00000000">
            <w:pPr>
              <w:spacing w:after="80"/>
            </w:pPr>
            <w:r>
              <w:rPr>
                <w:b/>
                <w:bCs/>
                <w:color w:val="2E6DB4"/>
              </w:rPr>
              <w:t>Watch the unit (a common trap)</w:t>
            </w:r>
          </w:p>
          <w:p w14:paraId="138AAB26" w14:textId="77777777" w:rsidR="005B6E0D" w:rsidRDefault="00000000">
            <w:pPr>
              <w:spacing w:after="60" w:line="270" w:lineRule="auto"/>
            </w:pPr>
            <w:r>
              <w:t xml:space="preserve">A GPU's “TDP” (thermal design power, e.g. 700 W) is a </w:t>
            </w:r>
            <w:r>
              <w:rPr>
                <w:b/>
                <w:bCs/>
              </w:rPr>
              <w:t>rate</w:t>
            </w:r>
            <w:r>
              <w:t>, not an amount of energy. To get energy you must multiply by time: 700 W for 1 hour = 0.7 kWh. Watts ≠ kWh. The same discipline applies to compute: a GPU-</w:t>
            </w:r>
            <w:r>
              <w:rPr>
                <w:i/>
                <w:iCs/>
              </w:rPr>
              <w:t>hour</w:t>
            </w:r>
            <w:r>
              <w:t xml:space="preserve"> is a quantity (rate × time), while a GPU's raw speed (FLOPs/second) is a rate. Keep rates and quantities separate or every downstream number will be wrong.</w:t>
            </w:r>
          </w:p>
        </w:tc>
      </w:tr>
    </w:tbl>
    <w:p w14:paraId="77FD9A2C" w14:textId="77777777" w:rsidR="005B6E0D" w:rsidRDefault="00000000">
      <w:pPr>
        <w:pStyle w:val="Heading2"/>
      </w:pPr>
      <w:proofErr w:type="gramStart"/>
      <w:r>
        <w:t>1.2  Who</w:t>
      </w:r>
      <w:proofErr w:type="gramEnd"/>
      <w:r>
        <w:t xml:space="preserve"> buys and who sells</w:t>
      </w:r>
    </w:p>
    <w:p w14:paraId="57107A27" w14:textId="77777777" w:rsidR="005B6E0D" w:rsidRDefault="00000000">
      <w:pPr>
        <w:spacing w:after="160" w:line="276" w:lineRule="auto"/>
      </w:pPr>
      <w:r>
        <w:t>The market has two natural sides, plus the people who finance and trade around them:</w:t>
      </w:r>
    </w:p>
    <w:p w14:paraId="2E2B00DD" w14:textId="77777777" w:rsidR="005B6E0D" w:rsidRDefault="00000000">
      <w:pPr>
        <w:pStyle w:val="ListParagraph"/>
        <w:numPr>
          <w:ilvl w:val="0"/>
          <w:numId w:val="2"/>
        </w:numPr>
        <w:spacing w:after="100" w:line="270" w:lineRule="auto"/>
      </w:pPr>
      <w:r>
        <w:rPr>
          <w:b/>
          <w:bCs/>
        </w:rPr>
        <w:t xml:space="preserve">Buyers of compute: </w:t>
      </w:r>
      <w:r>
        <w:t xml:space="preserve">frontier AI labs (training the next model), </w:t>
      </w:r>
      <w:proofErr w:type="spellStart"/>
      <w:r>
        <w:t>hyperscalers</w:t>
      </w:r>
      <w:proofErr w:type="spellEnd"/>
      <w:r>
        <w:t>, enterprise AI teams, and AI-native software companies whose profit margin literally depends on what a GPU-hour costs. They want to lock in tomorrow's cost today.</w:t>
      </w:r>
    </w:p>
    <w:p w14:paraId="42CCD7D5" w14:textId="77777777" w:rsidR="005B6E0D" w:rsidRDefault="00000000">
      <w:pPr>
        <w:pStyle w:val="ListParagraph"/>
        <w:numPr>
          <w:ilvl w:val="0"/>
          <w:numId w:val="2"/>
        </w:numPr>
        <w:spacing w:after="100" w:line="270" w:lineRule="auto"/>
      </w:pPr>
      <w:r>
        <w:rPr>
          <w:b/>
          <w:bCs/>
        </w:rPr>
        <w:t xml:space="preserve">Sellers of compute: </w:t>
      </w:r>
      <w:r>
        <w:t>“</w:t>
      </w:r>
      <w:proofErr w:type="spellStart"/>
      <w:r>
        <w:t>neoclouds</w:t>
      </w:r>
      <w:proofErr w:type="spellEnd"/>
      <w:r>
        <w:t xml:space="preserve">” (GPU-rental specialists such as </w:t>
      </w:r>
      <w:proofErr w:type="spellStart"/>
      <w:r>
        <w:t>CoreWeave</w:t>
      </w:r>
      <w:proofErr w:type="spellEnd"/>
      <w:r>
        <w:t xml:space="preserve">-style providers), GPU-as-a-service operators, colocation/data-centre operators, and </w:t>
      </w:r>
      <w:proofErr w:type="spellStart"/>
      <w:r>
        <w:t>hyperscalers</w:t>
      </w:r>
      <w:proofErr w:type="spellEnd"/>
      <w:r>
        <w:t xml:space="preserve"> reselling spare capacity. They are sitting on expensive inventory and want predictable revenue.</w:t>
      </w:r>
    </w:p>
    <w:p w14:paraId="4780CD09" w14:textId="77777777" w:rsidR="005B6E0D" w:rsidRDefault="00000000">
      <w:pPr>
        <w:pStyle w:val="ListParagraph"/>
        <w:numPr>
          <w:ilvl w:val="0"/>
          <w:numId w:val="2"/>
        </w:numPr>
        <w:spacing w:after="100" w:line="270" w:lineRule="auto"/>
      </w:pPr>
      <w:r>
        <w:rPr>
          <w:b/>
          <w:bCs/>
        </w:rPr>
        <w:t xml:space="preserve">Lenders: </w:t>
      </w:r>
      <w:r>
        <w:t>private-credit funds and project-finance desks lending billions against data-centre build-outs. They need a way to value the GPUs they hold as collateral.</w:t>
      </w:r>
    </w:p>
    <w:p w14:paraId="3346B720" w14:textId="77777777" w:rsidR="005B6E0D" w:rsidRDefault="00000000">
      <w:pPr>
        <w:pStyle w:val="ListParagraph"/>
        <w:numPr>
          <w:ilvl w:val="0"/>
          <w:numId w:val="2"/>
        </w:numPr>
        <w:spacing w:after="100" w:line="270" w:lineRule="auto"/>
      </w:pPr>
      <w:r>
        <w:rPr>
          <w:b/>
          <w:bCs/>
        </w:rPr>
        <w:t xml:space="preserve">Speculators and arbitrageurs: </w:t>
      </w:r>
      <w:r>
        <w:t>hedge funds, market makers, and traders who simply want exposure to the price of compute, and whose activity makes the market liquid.</w:t>
      </w:r>
    </w:p>
    <w:p w14:paraId="3AEC0CD5" w14:textId="77777777" w:rsidR="005B6E0D" w:rsidRDefault="00000000">
      <w:pPr>
        <w:spacing w:after="160" w:line="276" w:lineRule="auto"/>
      </w:pPr>
      <w:r>
        <w:t xml:space="preserve">This buyer/seller/lender/speculator structure is exactly the cast of characters you find in any mature commodity market (oil, electricity, wheat). That parallel is the heart of the whole thesis, and Part 2 makes it precise. Source for the participant taxonomy: </w:t>
      </w:r>
      <w:hyperlink r:id="rId7" w:history="1">
        <w:r>
          <w:rPr>
            <w:rStyle w:val="Hyperlink"/>
            <w:color w:val="2E6DB4"/>
          </w:rPr>
          <w:t>Architect's own market description</w:t>
        </w:r>
      </w:hyperlink>
      <w:r>
        <w:t>.</w:t>
      </w:r>
    </w:p>
    <w:p w14:paraId="0CB528CA" w14:textId="77777777" w:rsidR="005B6E0D" w:rsidRDefault="00000000">
      <w:pPr>
        <w:pStyle w:val="Heading2"/>
      </w:pPr>
      <w:proofErr w:type="gramStart"/>
      <w:r>
        <w:t>1.3  Why</w:t>
      </w:r>
      <w:proofErr w:type="gramEnd"/>
      <w:r>
        <w:t xml:space="preserve"> a price for compute is suddenly volatile — and why that matters</w:t>
      </w:r>
    </w:p>
    <w:p w14:paraId="1CEA85F5" w14:textId="77777777" w:rsidR="005B6E0D" w:rsidRDefault="00000000">
      <w:pPr>
        <w:spacing w:after="160" w:line="276" w:lineRule="auto"/>
      </w:pPr>
      <w:r>
        <w:lastRenderedPageBreak/>
        <w:t>For years, cloud compute prices were quasi-fixed list prices. That broke. Demand exploded (every company wants AI), while supply is gated by chip fabrication, advanced packaging, memory (HBM), and — increasingly — electrical power and data-centre capacity. When demand surges against a hard supply ceiling, prices swing.</w:t>
      </w:r>
    </w:p>
    <w:p w14:paraId="6C21C0CC" w14:textId="77777777" w:rsidR="005B6E0D" w:rsidRDefault="00000000">
      <w:pPr>
        <w:spacing w:after="160" w:line="276" w:lineRule="auto"/>
      </w:pPr>
      <w:r>
        <w:t xml:space="preserve">Concretely, reporting around the new compute-futures markets cites a one-year H100 rental price that </w:t>
      </w:r>
      <w:hyperlink r:id="rId8" w:history="1">
        <w:r>
          <w:rPr>
            <w:rStyle w:val="Hyperlink"/>
            <w:color w:val="2E6DB4"/>
          </w:rPr>
          <w:t>rose more than 38% between October 2025 and March 2026</w:t>
        </w:r>
      </w:hyperlink>
      <w:r>
        <w:t xml:space="preserve">. </w:t>
      </w:r>
      <w:r>
        <w:rPr>
          <w:i/>
          <w:iCs/>
        </w:rPr>
        <w:t>(Treat the precise figure as one provider's claim, not gospel — but the direction and magnitude are corroborated by multiple outlets.)</w:t>
      </w:r>
    </w:p>
    <w:p w14:paraId="65EE462C" w14:textId="77777777" w:rsidR="005B6E0D" w:rsidRDefault="00000000">
      <w:pPr>
        <w:spacing w:after="160" w:line="276" w:lineRule="auto"/>
      </w:pPr>
      <w:r>
        <w:rPr>
          <w:b/>
          <w:bCs/>
        </w:rPr>
        <w:t xml:space="preserve">Volatility is the trigger for </w:t>
      </w:r>
      <w:proofErr w:type="spellStart"/>
      <w:r>
        <w:rPr>
          <w:b/>
          <w:bCs/>
        </w:rPr>
        <w:t>financialisation</w:t>
      </w:r>
      <w:proofErr w:type="spellEnd"/>
      <w:r>
        <w:rPr>
          <w:b/>
          <w:bCs/>
        </w:rPr>
        <w:t xml:space="preserve">. </w:t>
      </w:r>
      <w:r>
        <w:t>Once a critical input has a price that moves unpredictably, the people exposed to it want to hedge, and the people who enjoy risk want to bet. That demand is what calls a derivatives market into existence — the same way oil price shocks in the 1970s–80s gave us oil futures.</w:t>
      </w:r>
    </w:p>
    <w:p w14:paraId="0106EDC4" w14:textId="77777777" w:rsidR="005B6E0D" w:rsidRDefault="00000000">
      <w:pPr>
        <w:pStyle w:val="Heading2"/>
      </w:pPr>
      <w:proofErr w:type="gramStart"/>
      <w:r>
        <w:t>1.4  What</w:t>
      </w:r>
      <w:proofErr w:type="gramEnd"/>
      <w:r>
        <w:t xml:space="preserve"> “financialising compute” actually means</w:t>
      </w:r>
    </w:p>
    <w:p w14:paraId="01DC1B46" w14:textId="77777777" w:rsidR="005B6E0D" w:rsidRDefault="00000000">
      <w:pPr>
        <w:spacing w:after="160" w:line="276" w:lineRule="auto"/>
      </w:pPr>
      <w:r>
        <w:t xml:space="preserve">It means building financial instruments whose value is derived from the price of compute, so that risk can be transferred without anyone moving a physical chip. The key instrument is a </w:t>
      </w:r>
      <w:r>
        <w:rPr>
          <w:b/>
          <w:bCs/>
        </w:rPr>
        <w:t>future</w:t>
      </w:r>
      <w:r>
        <w:t>: a standardised contract to settle, on a set date, against the price of a defined unit of compute.</w:t>
      </w:r>
    </w:p>
    <w:p w14:paraId="740F0034" w14:textId="77777777" w:rsidR="005B6E0D" w:rsidRDefault="00000000">
      <w:pPr>
        <w:spacing w:after="160" w:line="276" w:lineRule="auto"/>
      </w:pPr>
      <w:r>
        <w:rPr>
          <w:b/>
          <w:bCs/>
        </w:rPr>
        <w:t>A worked example (illustrative numbers):</w:t>
      </w:r>
    </w:p>
    <w:p w14:paraId="7E87C3EE" w14:textId="77777777" w:rsidR="005B6E0D" w:rsidRDefault="00000000">
      <w:pPr>
        <w:pStyle w:val="ListParagraph"/>
        <w:numPr>
          <w:ilvl w:val="0"/>
          <w:numId w:val="3"/>
        </w:numPr>
        <w:spacing w:after="100" w:line="270" w:lineRule="auto"/>
      </w:pPr>
      <w:r>
        <w:t>An AI lab knows it will need 100 GPUs' worth of H200 capacity in 12 months for a training run. Spot price today is, say, $3.20/GPU-hr and it fears a price spike.</w:t>
      </w:r>
    </w:p>
    <w:p w14:paraId="39748EDA" w14:textId="77777777" w:rsidR="005B6E0D" w:rsidRDefault="00000000">
      <w:pPr>
        <w:pStyle w:val="ListParagraph"/>
        <w:numPr>
          <w:ilvl w:val="0"/>
          <w:numId w:val="3"/>
        </w:numPr>
        <w:spacing w:after="100" w:line="270" w:lineRule="auto"/>
      </w:pPr>
      <w:r>
        <w:t xml:space="preserve">It </w:t>
      </w:r>
      <w:r>
        <w:rPr>
          <w:b/>
          <w:bCs/>
        </w:rPr>
        <w:t>buys</w:t>
      </w:r>
      <w:r>
        <w:t xml:space="preserve"> a 12-month compute future at the listed forward price (say $2.30/GPU-hr — forward prices can sit below spot if the market expects new supply).</w:t>
      </w:r>
    </w:p>
    <w:p w14:paraId="479911BE" w14:textId="77777777" w:rsidR="005B6E0D" w:rsidRDefault="00000000">
      <w:pPr>
        <w:pStyle w:val="ListParagraph"/>
        <w:numPr>
          <w:ilvl w:val="0"/>
          <w:numId w:val="3"/>
        </w:numPr>
        <w:spacing w:after="100" w:line="270" w:lineRule="auto"/>
      </w:pPr>
      <w:r>
        <w:t xml:space="preserve">Twelve months later, if real rental prices have risen to $4.00, the future pays the lab the difference in cash. The lab's higher real-world rental bill is offset by the gain on the contract. It has </w:t>
      </w:r>
      <w:r>
        <w:rPr>
          <w:b/>
          <w:bCs/>
        </w:rPr>
        <w:t>hedged</w:t>
      </w:r>
      <w:r>
        <w:t xml:space="preserve"> — locked in its cost.</w:t>
      </w:r>
    </w:p>
    <w:p w14:paraId="564A89FA" w14:textId="77777777" w:rsidR="005B6E0D" w:rsidRDefault="00000000">
      <w:pPr>
        <w:pStyle w:val="ListParagraph"/>
        <w:numPr>
          <w:ilvl w:val="0"/>
          <w:numId w:val="3"/>
        </w:numPr>
        <w:spacing w:after="100" w:line="270" w:lineRule="auto"/>
      </w:pPr>
      <w:r>
        <w:t xml:space="preserve">If prices instead </w:t>
      </w:r>
      <w:r>
        <w:rPr>
          <w:i/>
          <w:iCs/>
        </w:rPr>
        <w:t>fell</w:t>
      </w:r>
      <w:r>
        <w:t>, the lab loses on the contract but pays less in the real world. Either way, its cost was fixed in advance — which is the entire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6E0D" w14:paraId="35EBAE4A" w14:textId="77777777">
        <w:tblPrEx>
          <w:tblCellMar>
            <w:top w:w="0" w:type="dxa"/>
            <w:bottom w:w="0" w:type="dxa"/>
          </w:tblCellMar>
        </w:tblPrEx>
        <w:tc>
          <w:tcPr>
            <w:tcW w:w="9360" w:type="dxa"/>
            <w:tcBorders>
              <w:top w:val="single" w:sz="6" w:space="0" w:color="2E6DB4"/>
              <w:left w:val="single" w:sz="6" w:space="0" w:color="2E6DB4"/>
              <w:bottom w:val="single" w:sz="6" w:space="0" w:color="2E6DB4"/>
              <w:right w:val="single" w:sz="6" w:space="0" w:color="2E6DB4"/>
            </w:tcBorders>
            <w:shd w:val="clear" w:color="auto" w:fill="EEF4FB"/>
            <w:tcMar>
              <w:top w:w="120" w:type="dxa"/>
              <w:left w:w="160" w:type="dxa"/>
              <w:bottom w:w="120" w:type="dxa"/>
              <w:right w:w="160" w:type="dxa"/>
            </w:tcMar>
          </w:tcPr>
          <w:p w14:paraId="049C2181" w14:textId="77777777" w:rsidR="005B6E0D" w:rsidRDefault="00000000">
            <w:pPr>
              <w:spacing w:after="80"/>
            </w:pPr>
            <w:r>
              <w:rPr>
                <w:b/>
                <w:bCs/>
                <w:color w:val="2E6DB4"/>
              </w:rPr>
              <w:t>Cash-settled, not physical</w:t>
            </w:r>
          </w:p>
          <w:p w14:paraId="74BDF1A1" w14:textId="77777777" w:rsidR="005B6E0D" w:rsidRDefault="00000000">
            <w:pPr>
              <w:spacing w:after="60" w:line="270" w:lineRule="auto"/>
            </w:pPr>
            <w:r>
              <w:t xml:space="preserve">These contracts are </w:t>
            </w:r>
            <w:r>
              <w:rPr>
                <w:b/>
                <w:bCs/>
              </w:rPr>
              <w:t>cash-settled</w:t>
            </w:r>
            <w:r>
              <w:t xml:space="preserve">: no GPUs change hands. At expiry the contract is marked against a published price </w:t>
            </w:r>
            <w:r>
              <w:rPr>
                <w:b/>
                <w:bCs/>
              </w:rPr>
              <w:t>index</w:t>
            </w:r>
            <w:r>
              <w:t xml:space="preserve">, and the difference is paid in cash — the same mechanism used for most energy and financial futures. This is why a credible, manipulation-resistant index is the load-bearing piece of the whole structure (see 1.6). Source: </w:t>
            </w:r>
            <w:hyperlink r:id="rId9" w:history="1">
              <w:r>
                <w:rPr>
                  <w:rStyle w:val="Hyperlink"/>
                  <w:color w:val="2E6DB4"/>
                </w:rPr>
                <w:t>ICE/CME compute-futures coverage</w:t>
              </w:r>
            </w:hyperlink>
            <w:r>
              <w:t>.</w:t>
            </w:r>
          </w:p>
        </w:tc>
      </w:tr>
    </w:tbl>
    <w:p w14:paraId="2D8A3004" w14:textId="77777777" w:rsidR="005B6E0D" w:rsidRDefault="00000000">
      <w:pPr>
        <w:pStyle w:val="Heading2"/>
      </w:pPr>
      <w:proofErr w:type="gramStart"/>
      <w:r>
        <w:t>1.5  Where</w:t>
      </w:r>
      <w:proofErr w:type="gramEnd"/>
      <w:r>
        <w:t xml:space="preserve"> the three companies fit (and CME and ICE)</w:t>
      </w:r>
    </w:p>
    <w:p w14:paraId="2960C8D8" w14:textId="77777777" w:rsidR="005B6E0D" w:rsidRDefault="00000000">
      <w:pPr>
        <w:spacing w:after="160" w:line="276" w:lineRule="auto"/>
      </w:pPr>
      <w:r>
        <w:t>Lay the players on a single “stack” and the picture clarifies. Each occupies a different rung: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3700"/>
      </w:tblGrid>
      <w:tr w:rsidR="005B6E0D" w14:paraId="56F81E2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0105D393" w14:textId="77777777" w:rsidR="005B6E0D" w:rsidRDefault="00000000">
            <w:r>
              <w:rPr>
                <w:b/>
                <w:bCs/>
                <w:color w:val="FFFFFF"/>
              </w:rPr>
              <w:lastRenderedPageBreak/>
              <w:t>Layer</w:t>
            </w:r>
          </w:p>
        </w:tc>
        <w:tc>
          <w:tcPr>
            <w:tcW w:w="37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57925E5B" w14:textId="77777777" w:rsidR="005B6E0D" w:rsidRDefault="00000000">
            <w:r>
              <w:rPr>
                <w:b/>
                <w:bCs/>
                <w:color w:val="FFFFFF"/>
              </w:rPr>
              <w:t>What it does</w:t>
            </w:r>
          </w:p>
        </w:tc>
        <w:tc>
          <w:tcPr>
            <w:tcW w:w="37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253AAC7E" w14:textId="77777777" w:rsidR="005B6E0D" w:rsidRDefault="00000000">
            <w:r>
              <w:rPr>
                <w:b/>
                <w:bCs/>
                <w:color w:val="FFFFFF"/>
              </w:rPr>
              <w:t>Who is here</w:t>
            </w:r>
          </w:p>
        </w:tc>
      </w:tr>
      <w:tr w:rsidR="005B6E0D" w14:paraId="2BDBD76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7A8FFAE" w14:textId="77777777" w:rsidR="005B6E0D" w:rsidRDefault="00000000">
            <w:r>
              <w:t>Physical compute</w:t>
            </w:r>
          </w:p>
        </w:tc>
        <w:tc>
          <w:tcPr>
            <w:tcW w:w="3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9657D51" w14:textId="77777777" w:rsidR="005B6E0D" w:rsidRDefault="00000000">
            <w:r>
              <w:t>Builds/sells the actual GPU-hours</w:t>
            </w:r>
          </w:p>
        </w:tc>
        <w:tc>
          <w:tcPr>
            <w:tcW w:w="3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58574BA" w14:textId="77777777" w:rsidR="005B6E0D" w:rsidRDefault="00000000">
            <w:proofErr w:type="spellStart"/>
            <w:r>
              <w:t>Neoclouds</w:t>
            </w:r>
            <w:proofErr w:type="spellEnd"/>
            <w:r>
              <w:t xml:space="preserve">, </w:t>
            </w:r>
            <w:proofErr w:type="spellStart"/>
            <w:r>
              <w:t>hyperscalers</w:t>
            </w:r>
            <w:proofErr w:type="spellEnd"/>
            <w:r>
              <w:t xml:space="preserve">, </w:t>
            </w:r>
            <w:proofErr w:type="spellStart"/>
            <w:r>
              <w:t>GPUaaS</w:t>
            </w:r>
            <w:proofErr w:type="spellEnd"/>
            <w:r>
              <w:t xml:space="preserve"> operators</w:t>
            </w:r>
          </w:p>
        </w:tc>
      </w:tr>
      <w:tr w:rsidR="005B6E0D" w14:paraId="0C4602E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3E12A" w14:textId="77777777" w:rsidR="005B6E0D" w:rsidRDefault="00000000">
            <w:r>
              <w:t>Price discovery / exchange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D20F" w14:textId="77777777" w:rsidR="005B6E0D" w:rsidRDefault="00000000">
            <w:r>
              <w:t>Lists futures &amp; options so a price curve exists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866E" w14:textId="77777777" w:rsidR="005B6E0D" w:rsidRDefault="00000000">
            <w:r>
              <w:t xml:space="preserve">Architect (architect.co), CME (w/ Silicon Data), ICE (w/ </w:t>
            </w:r>
            <w:proofErr w:type="spellStart"/>
            <w:r>
              <w:t>Ornn</w:t>
            </w:r>
            <w:proofErr w:type="spellEnd"/>
            <w:r>
              <w:t>)</w:t>
            </w:r>
          </w:p>
        </w:tc>
      </w:tr>
      <w:tr w:rsidR="005B6E0D" w14:paraId="199DAB8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4EA22B2" w14:textId="77777777" w:rsidR="005B6E0D" w:rsidRDefault="00000000">
            <w:r>
              <w:t>Index / data</w:t>
            </w:r>
          </w:p>
        </w:tc>
        <w:tc>
          <w:tcPr>
            <w:tcW w:w="3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541EB24" w14:textId="77777777" w:rsidR="005B6E0D" w:rsidRDefault="00000000">
            <w:r>
              <w:t>Publishes the benchmark price contracts settle against</w:t>
            </w:r>
          </w:p>
        </w:tc>
        <w:tc>
          <w:tcPr>
            <w:tcW w:w="3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CE6B43F" w14:textId="77777777" w:rsidR="005B6E0D" w:rsidRDefault="00000000">
            <w:r>
              <w:t xml:space="preserve">Silicon Data (H100 index), </w:t>
            </w:r>
            <w:proofErr w:type="spellStart"/>
            <w:r>
              <w:t>Ornn</w:t>
            </w:r>
            <w:proofErr w:type="spellEnd"/>
          </w:p>
        </w:tc>
      </w:tr>
      <w:tr w:rsidR="005B6E0D" w14:paraId="02989DB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4CCD" w14:textId="77777777" w:rsidR="005B6E0D" w:rsidRDefault="00000000">
            <w:r>
              <w:t>Alternative market structure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459D" w14:textId="77777777" w:rsidR="005B6E0D" w:rsidRDefault="00000000">
            <w:r>
              <w:t>Coordinates AI production via token incentives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7C84" w14:textId="77777777" w:rsidR="005B6E0D" w:rsidRDefault="00000000">
            <w:proofErr w:type="spellStart"/>
            <w:r>
              <w:t>Bittensor</w:t>
            </w:r>
            <w:proofErr w:type="spellEnd"/>
            <w:r>
              <w:t xml:space="preserve"> (TAO) and its subnets</w:t>
            </w:r>
          </w:p>
        </w:tc>
      </w:tr>
      <w:tr w:rsidR="005B6E0D" w14:paraId="4624766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3E61239" w14:textId="77777777" w:rsidR="005B6E0D" w:rsidRDefault="00000000">
            <w:r>
              <w:t>Financial plumbing</w:t>
            </w:r>
          </w:p>
        </w:tc>
        <w:tc>
          <w:tcPr>
            <w:tcW w:w="3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C55F1C6" w14:textId="77777777" w:rsidR="005B6E0D" w:rsidRDefault="00000000">
            <w:r>
              <w:t>Execution, credit, custody, financing for a new asset class</w:t>
            </w:r>
          </w:p>
        </w:tc>
        <w:tc>
          <w:tcPr>
            <w:tcW w:w="3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828F3FA" w14:textId="77777777" w:rsidR="005B6E0D" w:rsidRDefault="00000000">
            <w:proofErr w:type="spellStart"/>
            <w:r>
              <w:t>FalconX</w:t>
            </w:r>
            <w:proofErr w:type="spellEnd"/>
            <w:r>
              <w:t xml:space="preserve"> (</w:t>
            </w:r>
            <w:proofErr w:type="spellStart"/>
            <w:r>
              <w:t>analog</w:t>
            </w:r>
            <w:proofErr w:type="spellEnd"/>
            <w:r>
              <w:t>/enabler from crypto)</w:t>
            </w:r>
          </w:p>
        </w:tc>
      </w:tr>
    </w:tbl>
    <w:p w14:paraId="7FDEB97C" w14:textId="77777777" w:rsidR="005B6E0D" w:rsidRDefault="00000000">
      <w:pPr>
        <w:spacing w:after="160" w:line="276" w:lineRule="auto"/>
      </w:pPr>
      <w:r>
        <w:rPr>
          <w:b/>
          <w:bCs/>
        </w:rPr>
        <w:t xml:space="preserve">The “why now” is that the establishment arrived. </w:t>
      </w:r>
      <w:r>
        <w:t xml:space="preserve">In May 2026, within days of each other, </w:t>
      </w:r>
      <w:hyperlink r:id="rId10" w:history="1">
        <w:r>
          <w:rPr>
            <w:rStyle w:val="Hyperlink"/>
            <w:color w:val="2E6DB4"/>
          </w:rPr>
          <w:t>CME partnered with Silicon Data</w:t>
        </w:r>
      </w:hyperlink>
      <w:r>
        <w:t xml:space="preserve"> and </w:t>
      </w:r>
      <w:hyperlink r:id="rId11" w:history="1">
        <w:r>
          <w:rPr>
            <w:rStyle w:val="Hyperlink"/>
            <w:color w:val="2E6DB4"/>
          </w:rPr>
          <w:t xml:space="preserve">ICE partnered with </w:t>
        </w:r>
        <w:proofErr w:type="spellStart"/>
        <w:r>
          <w:rPr>
            <w:rStyle w:val="Hyperlink"/>
            <w:color w:val="2E6DB4"/>
          </w:rPr>
          <w:t>Ornn</w:t>
        </w:r>
        <w:proofErr w:type="spellEnd"/>
      </w:hyperlink>
      <w:r>
        <w:t xml:space="preserve"> to launch GPU compute futures (both pending regulatory review, targeted for the second half of 2026). When the two largest Western derivatives exchanges move on the same idea in the same week, “compute as a commodity” has crossed from thesis to consensus. Architect is the venture-scale, AI-native challenger in that same race.</w:t>
      </w:r>
    </w:p>
    <w:p w14:paraId="1E7EBE1D" w14:textId="77777777" w:rsidR="005B6E0D" w:rsidRDefault="00000000">
      <w:pPr>
        <w:pStyle w:val="Heading2"/>
      </w:pPr>
      <w:proofErr w:type="gramStart"/>
      <w:r>
        <w:t>1.6  The</w:t>
      </w:r>
      <w:proofErr w:type="gramEnd"/>
      <w:r>
        <w:t xml:space="preserve"> hard part: what exactly are you pricing?</w:t>
      </w:r>
    </w:p>
    <w:p w14:paraId="7F501FF2" w14:textId="77777777" w:rsidR="005B6E0D" w:rsidRDefault="00000000">
      <w:pPr>
        <w:spacing w:after="160" w:line="276" w:lineRule="auto"/>
      </w:pPr>
      <w:r>
        <w:t xml:space="preserve">Oil futures work because a barrel of a defined crude grade is fungible — one barrel is like another. A GPU-hour is </w:t>
      </w:r>
      <w:r>
        <w:rPr>
          <w:b/>
          <w:bCs/>
        </w:rPr>
        <w:t>not</w:t>
      </w:r>
      <w:r>
        <w:t xml:space="preserve"> cleanly fungible. An H100-hour differs from a B300-hour; an hour with fast interconnect and good networking differs from an isolated GPU; reliability, location, and power costs all vary. </w:t>
      </w:r>
      <w:proofErr w:type="gramStart"/>
      <w:r>
        <w:t>So</w:t>
      </w:r>
      <w:proofErr w:type="gramEnd"/>
      <w:r>
        <w:t xml:space="preserve"> the central technical challenge of this entire market is constructing a </w:t>
      </w:r>
      <w:r>
        <w:rPr>
          <w:b/>
          <w:bCs/>
        </w:rPr>
        <w:t>reference index</w:t>
      </w:r>
      <w:r>
        <w:t xml:space="preserve"> that is representative, hard to manipulate, and updated often enough to be useful.</w:t>
      </w:r>
    </w:p>
    <w:p w14:paraId="3FE676B5" w14:textId="77777777" w:rsidR="005B6E0D" w:rsidRDefault="00000000">
      <w:pPr>
        <w:spacing w:after="160" w:line="276" w:lineRule="auto"/>
      </w:pPr>
      <w:r>
        <w:t xml:space="preserve">This is why the index providers (Silicon Data, </w:t>
      </w:r>
      <w:proofErr w:type="spellStart"/>
      <w:r>
        <w:t>Ornn</w:t>
      </w:r>
      <w:proofErr w:type="spellEnd"/>
      <w:r>
        <w:t xml:space="preserve">) matter as much as the exchanges. CME's contracts reference the </w:t>
      </w:r>
      <w:hyperlink r:id="rId12" w:history="1">
        <w:r>
          <w:rPr>
            <w:rStyle w:val="Hyperlink"/>
            <w:color w:val="2E6DB4"/>
          </w:rPr>
          <w:t>Silicon Data H100 Rental Index</w:t>
        </w:r>
      </w:hyperlink>
      <w:r>
        <w:t>, built from real transaction data. If the index is weak, the whole contract is gameable and the market fails. A good chunk of your report's risk section lives right here.</w:t>
      </w:r>
    </w:p>
    <w:p w14:paraId="0764D7E5" w14:textId="77777777" w:rsidR="005B6E0D" w:rsidRDefault="00000000">
      <w:pPr>
        <w:pStyle w:val="Heading2"/>
      </w:pPr>
      <w:proofErr w:type="gramStart"/>
      <w:r>
        <w:t>1.7  The</w:t>
      </w:r>
      <w:proofErr w:type="gramEnd"/>
      <w:r>
        <w:t xml:space="preserve"> crypto branch: </w:t>
      </w:r>
      <w:proofErr w:type="spellStart"/>
      <w:r>
        <w:t>Bittensor</w:t>
      </w:r>
      <w:proofErr w:type="spellEnd"/>
      <w:r>
        <w:t xml:space="preserve"> and </w:t>
      </w:r>
      <w:proofErr w:type="spellStart"/>
      <w:r>
        <w:t>FalconX</w:t>
      </w:r>
      <w:proofErr w:type="spellEnd"/>
    </w:p>
    <w:p w14:paraId="42BB3360" w14:textId="77777777" w:rsidR="005B6E0D" w:rsidRDefault="00000000">
      <w:pPr>
        <w:spacing w:after="160" w:line="276" w:lineRule="auto"/>
      </w:pPr>
      <w:r>
        <w:t>Two of your starting companies come from the crypto world, and they illustrate two different things.</w:t>
      </w:r>
    </w:p>
    <w:p w14:paraId="22AEB2C8" w14:textId="77777777" w:rsidR="005B6E0D" w:rsidRDefault="00000000">
      <w:pPr>
        <w:pStyle w:val="Heading3"/>
      </w:pPr>
      <w:proofErr w:type="spellStart"/>
      <w:r>
        <w:t>Bittensor</w:t>
      </w:r>
      <w:proofErr w:type="spellEnd"/>
      <w:r>
        <w:t xml:space="preserve"> (TAO) — a different way to organise AI production</w:t>
      </w:r>
    </w:p>
    <w:p w14:paraId="230D7262" w14:textId="77777777" w:rsidR="005B6E0D" w:rsidRDefault="00000000">
      <w:pPr>
        <w:spacing w:after="160" w:line="276" w:lineRule="auto"/>
      </w:pPr>
      <w:proofErr w:type="spellStart"/>
      <w:r>
        <w:t>Bittensor</w:t>
      </w:r>
      <w:proofErr w:type="spellEnd"/>
      <w:r>
        <w:t xml:space="preserve"> is a blockchain protocol that tries to create an open market for </w:t>
      </w:r>
      <w:r>
        <w:rPr>
          <w:b/>
          <w:bCs/>
        </w:rPr>
        <w:t>machine intelligence itself</w:t>
      </w:r>
      <w:r>
        <w:t xml:space="preserve">, rather than for raw GPU-hours. It is organised into “subnets,” each a mini-marketplace for a specific task (language, image generation, prediction, etc.). “Miners” run AI models and produce outputs; “validators” score those outputs; the TAO token is paid out according to the quality of work. It uses Bitcoin-style </w:t>
      </w:r>
      <w:proofErr w:type="spellStart"/>
      <w:r>
        <w:t>tokenomics</w:t>
      </w:r>
      <w:proofErr w:type="spellEnd"/>
      <w:r>
        <w:t xml:space="preserve"> — a fixed 21-million supply and periodic </w:t>
      </w:r>
      <w:r>
        <w:lastRenderedPageBreak/>
        <w:t>“</w:t>
      </w:r>
      <w:proofErr w:type="spellStart"/>
      <w:r>
        <w:t>halvings</w:t>
      </w:r>
      <w:proofErr w:type="spellEnd"/>
      <w:r>
        <w:t xml:space="preserve">” that cut new issuance (a </w:t>
      </w:r>
      <w:hyperlink r:id="rId13" w:history="1">
        <w:r>
          <w:rPr>
            <w:rStyle w:val="Hyperlink"/>
            <w:color w:val="2E6DB4"/>
          </w:rPr>
          <w:t>halving in December 2025 cut daily emissions to roughly 3,600 TAO</w:t>
        </w:r>
      </w:hyperlink>
      <w:r>
        <w:t>).</w:t>
      </w:r>
    </w:p>
    <w:p w14:paraId="55E9D744" w14:textId="77777777" w:rsidR="005B6E0D" w:rsidRDefault="00000000">
      <w:pPr>
        <w:spacing w:after="160" w:line="276" w:lineRule="auto"/>
      </w:pPr>
      <w:r>
        <w:rPr>
          <w:b/>
          <w:bCs/>
        </w:rPr>
        <w:t xml:space="preserve">Why it belongs in the report: </w:t>
      </w:r>
      <w:r>
        <w:t xml:space="preserve">it is the clearest example of “compute/intelligence as a tradable, market-priced commodity” taken to its logical extreme — a fully market-based coordination mechanism with no company in the middle. </w:t>
      </w:r>
      <w:r>
        <w:rPr>
          <w:b/>
          <w:bCs/>
        </w:rPr>
        <w:t xml:space="preserve">Why to handle it carefully: </w:t>
      </w:r>
      <w:r>
        <w:t xml:space="preserve">independent analysis notes that TAO </w:t>
      </w:r>
      <w:hyperlink r:id="rId14" w:history="1">
        <w:r>
          <w:rPr>
            <w:rStyle w:val="Hyperlink"/>
            <w:color w:val="2E6DB4"/>
          </w:rPr>
          <w:t>emissions are heavily skewed toward a small number of high-stake validators</w:t>
        </w:r>
      </w:hyperlink>
      <w:r>
        <w:t xml:space="preserve">, which sits awkwardly with the “open, decentralised” story. And its token price (cited around $317 in April 2026) is </w:t>
      </w:r>
      <w:r>
        <w:rPr>
          <w:i/>
          <w:iCs/>
        </w:rPr>
        <w:t>highly volatile and reflexive</w:t>
      </w:r>
      <w:r>
        <w:t xml:space="preserve"> — partly a bet on the narrative, not a clean read on real AI demand. Use it as a conceptual case study, not as a price signal.</w:t>
      </w:r>
    </w:p>
    <w:p w14:paraId="06F4385A" w14:textId="77777777" w:rsidR="005B6E0D" w:rsidRDefault="00000000">
      <w:pPr>
        <w:pStyle w:val="Heading3"/>
      </w:pPr>
      <w:proofErr w:type="spellStart"/>
      <w:r>
        <w:t>FalconX</w:t>
      </w:r>
      <w:proofErr w:type="spellEnd"/>
      <w:r>
        <w:t xml:space="preserve"> — the financial plumbing </w:t>
      </w:r>
      <w:proofErr w:type="spellStart"/>
      <w:r>
        <w:t>analog</w:t>
      </w:r>
      <w:proofErr w:type="spellEnd"/>
    </w:p>
    <w:p w14:paraId="622296B5" w14:textId="77777777" w:rsidR="005B6E0D" w:rsidRDefault="00000000">
      <w:pPr>
        <w:spacing w:after="160" w:line="276" w:lineRule="auto"/>
      </w:pPr>
      <w:proofErr w:type="spellStart"/>
      <w:r>
        <w:t>FalconX</w:t>
      </w:r>
      <w:proofErr w:type="spellEnd"/>
      <w:r>
        <w:t xml:space="preserve"> is an institutional </w:t>
      </w:r>
      <w:r>
        <w:rPr>
          <w:b/>
          <w:bCs/>
        </w:rPr>
        <w:t>prime broker</w:t>
      </w:r>
      <w:r>
        <w:t xml:space="preserve"> for crypto: it provides trade execution, liquidity, credit, and custody to hedge funds, asset managers, and the like — reportedly </w:t>
      </w:r>
      <w:hyperlink r:id="rId15" w:history="1">
        <w:r>
          <w:rPr>
            <w:rStyle w:val="Hyperlink"/>
            <w:color w:val="2E6DB4"/>
          </w:rPr>
          <w:t>$2.5 trillion-plus in cumulative volume across 600+ institutional clients</w:t>
        </w:r>
      </w:hyperlink>
      <w:r>
        <w:t xml:space="preserve">, and it has </w:t>
      </w:r>
      <w:hyperlink r:id="rId16" w:history="1">
        <w:r>
          <w:rPr>
            <w:rStyle w:val="Hyperlink"/>
            <w:color w:val="2E6DB4"/>
          </w:rPr>
          <w:t>confidentially filed for an IPO</w:t>
        </w:r>
      </w:hyperlink>
      <w:r>
        <w:t>. It does not touch compute.</w:t>
      </w:r>
    </w:p>
    <w:p w14:paraId="63FC7891" w14:textId="77777777" w:rsidR="005B6E0D" w:rsidRDefault="00000000">
      <w:pPr>
        <w:spacing w:after="160" w:line="276" w:lineRule="auto"/>
      </w:pPr>
      <w:r>
        <w:rPr>
          <w:b/>
          <w:bCs/>
        </w:rPr>
        <w:t xml:space="preserve">Why it belongs: </w:t>
      </w:r>
      <w:r>
        <w:t xml:space="preserve">every new asset class needs intermediaries — brokers, custodians, lenders — before institutions will trade it at scale. </w:t>
      </w:r>
      <w:proofErr w:type="spellStart"/>
      <w:r>
        <w:t>FalconX</w:t>
      </w:r>
      <w:proofErr w:type="spellEnd"/>
      <w:r>
        <w:t xml:space="preserve"> shows what that plumbing looks like when an asset class (crypto) goes from fringe to institutional in under a decade. The same plumbing will have to exist for compute. </w:t>
      </w:r>
      <w:proofErr w:type="spellStart"/>
      <w:r>
        <w:t>FalconX</w:t>
      </w:r>
      <w:proofErr w:type="spellEnd"/>
      <w:r>
        <w:t xml:space="preserve"> is your </w:t>
      </w:r>
      <w:r>
        <w:rPr>
          <w:i/>
          <w:iCs/>
        </w:rPr>
        <w:t>template</w:t>
      </w:r>
      <w:r>
        <w:t xml:space="preserve"> for the intermediary layer, and possibly a future participant, not a compute play itself.</w:t>
      </w:r>
    </w:p>
    <w:p w14:paraId="67AA3235" w14:textId="77777777" w:rsidR="005B6E0D" w:rsidRDefault="00000000">
      <w:r>
        <w:br w:type="page"/>
      </w:r>
    </w:p>
    <w:p w14:paraId="07550BCD" w14:textId="77777777" w:rsidR="005B6E0D" w:rsidRDefault="00000000">
      <w:pPr>
        <w:pStyle w:val="Heading1"/>
      </w:pPr>
      <w:r>
        <w:lastRenderedPageBreak/>
        <w:t xml:space="preserve">Part 2 — How to Think About This </w:t>
      </w:r>
      <w:proofErr w:type="gramStart"/>
      <w:r>
        <w:t>From</w:t>
      </w:r>
      <w:proofErr w:type="gramEnd"/>
      <w:r>
        <w:t xml:space="preserve"> First Principles</w:t>
      </w:r>
    </w:p>
    <w:p w14:paraId="64B26434" w14:textId="77777777" w:rsidR="005B6E0D" w:rsidRDefault="00000000">
      <w:pPr>
        <w:spacing w:after="160" w:line="276" w:lineRule="auto"/>
      </w:pPr>
      <w:r>
        <w:rPr>
          <w:i/>
          <w:iCs/>
        </w:rPr>
        <w:t>First-principles reasoning means refusing to argue by analogy or slogan (“compute is the new oil!”) and instead building up from things that are necessarily true, checking each step. Below is a reasoning toolkit: a set of questions and mental models you can apply yourself, so the report's conclusions are yours, and defensible under pushback.</w:t>
      </w:r>
    </w:p>
    <w:p w14:paraId="2ABB0997" w14:textId="77777777" w:rsidR="005B6E0D" w:rsidRDefault="00000000">
      <w:pPr>
        <w:pStyle w:val="Heading2"/>
      </w:pPr>
      <w:proofErr w:type="gramStart"/>
      <w:r>
        <w:t>2.1  Start</w:t>
      </w:r>
      <w:proofErr w:type="gramEnd"/>
      <w:r>
        <w:t xml:space="preserve"> from the irreducible question: what is actually being traded?</w:t>
      </w:r>
    </w:p>
    <w:p w14:paraId="646BB281" w14:textId="77777777" w:rsidR="005B6E0D" w:rsidRDefault="00000000">
      <w:pPr>
        <w:spacing w:after="160" w:line="276" w:lineRule="auto"/>
      </w:pPr>
      <w:r>
        <w:t xml:space="preserve">Before any market analysis, force a precise definition. Strip “the compute market” down to: </w:t>
      </w:r>
      <w:r>
        <w:rPr>
          <w:b/>
          <w:bCs/>
        </w:rPr>
        <w:t>a unit</w:t>
      </w:r>
      <w:r>
        <w:t xml:space="preserve"> (the GPU-hour, for a specified chip and configuration), </w:t>
      </w:r>
      <w:r>
        <w:rPr>
          <w:b/>
          <w:bCs/>
        </w:rPr>
        <w:t>a price</w:t>
      </w:r>
      <w:r>
        <w:t xml:space="preserve"> (per GPU-hour), and </w:t>
      </w:r>
      <w:r>
        <w:rPr>
          <w:b/>
          <w:bCs/>
        </w:rPr>
        <w:t>a quantity</w:t>
      </w:r>
      <w:r>
        <w:t xml:space="preserve"> (GPU-hours consumed over time). Everything else — futures, indices, tokens — is a structure built on top of that triad. If you cannot state the unit precisely, you cannot reason about the market. Test yourself: “an H200-hour” is nearly a unit; “compute” is not.</w:t>
      </w:r>
    </w:p>
    <w:p w14:paraId="12ABF81A" w14:textId="77777777" w:rsidR="005B6E0D" w:rsidRDefault="00000000">
      <w:pPr>
        <w:pStyle w:val="Heading2"/>
      </w:pPr>
      <w:proofErr w:type="gramStart"/>
      <w:r>
        <w:t>2.2  The</w:t>
      </w:r>
      <w:proofErr w:type="gramEnd"/>
      <w:r>
        <w:t xml:space="preserve"> commodity test: does compute actually behave like a commodity?</w:t>
      </w:r>
    </w:p>
    <w:p w14:paraId="6A59ACDF" w14:textId="77777777" w:rsidR="005B6E0D" w:rsidRDefault="00000000">
      <w:pPr>
        <w:spacing w:after="160" w:line="276" w:lineRule="auto"/>
      </w:pPr>
      <w:r>
        <w:t>The entire “financialise it” thesis rests on compute being commodity-like. Don't assume it — test it against the properties real commodities have. Score compute honestly on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B6E0D" w14:paraId="2C912543"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0D49E665" w14:textId="77777777" w:rsidR="005B6E0D" w:rsidRDefault="00000000">
            <w:r>
              <w:rPr>
                <w:b/>
                <w:bCs/>
                <w:color w:val="FFFFFF"/>
              </w:rPr>
              <w:t>Commodity property</w:t>
            </w:r>
          </w:p>
        </w:tc>
        <w:tc>
          <w:tcPr>
            <w:tcW w:w="59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tcPr>
          <w:p w14:paraId="67185C13" w14:textId="77777777" w:rsidR="005B6E0D" w:rsidRDefault="00000000">
            <w:r>
              <w:rPr>
                <w:b/>
                <w:bCs/>
                <w:color w:val="FFFFFF"/>
              </w:rPr>
              <w:t>Does compute have it?</w:t>
            </w:r>
          </w:p>
        </w:tc>
      </w:tr>
      <w:tr w:rsidR="005B6E0D" w14:paraId="729086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74F4571" w14:textId="77777777" w:rsidR="005B6E0D" w:rsidRDefault="00000000">
            <w:r>
              <w:t>Fungibility (one unit ≈ another)</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727F28B" w14:textId="77777777" w:rsidR="005B6E0D" w:rsidRDefault="00000000">
            <w:r>
              <w:t>Partly. Within one chip type, roughly. Across chip types/configs/networking, no. This is the weakest leg.</w:t>
            </w:r>
          </w:p>
        </w:tc>
      </w:tr>
      <w:tr w:rsidR="005B6E0D" w14:paraId="23C275F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0AEB" w14:textId="77777777" w:rsidR="005B6E0D" w:rsidRDefault="00000000">
            <w:r>
              <w:t>Standardisable unit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AFE9" w14:textId="77777777" w:rsidR="005B6E0D" w:rsidRDefault="00000000">
            <w:r>
              <w:t>Yes — the GPU-hour, if a chip/config is specified.</w:t>
            </w:r>
          </w:p>
        </w:tc>
      </w:tr>
      <w:tr w:rsidR="005B6E0D" w14:paraId="6366277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634ED3B" w14:textId="77777777" w:rsidR="005B6E0D" w:rsidRDefault="00000000">
            <w:r>
              <w:t>Volatile, uncertain price</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77DE279" w14:textId="77777777" w:rsidR="005B6E0D" w:rsidRDefault="00000000">
            <w:r>
              <w:t>Yes, increasingly — the precondition for hedging demand.</w:t>
            </w:r>
          </w:p>
        </w:tc>
      </w:tr>
      <w:tr w:rsidR="005B6E0D" w14:paraId="19B0F87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56642" w14:textId="77777777" w:rsidR="005B6E0D" w:rsidRDefault="00000000">
            <w:r>
              <w:t>Storability / inventory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0E43E" w14:textId="77777777" w:rsidR="005B6E0D" w:rsidRDefault="00000000">
            <w:r>
              <w:t>No — a GPU-hour is perishable. Unused capacity is lost forever, like electricity or airline seats. This shapes the forward curve.</w:t>
            </w:r>
          </w:p>
        </w:tc>
      </w:tr>
      <w:tr w:rsidR="005B6E0D" w14:paraId="2C9E0D9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537B954" w14:textId="77777777" w:rsidR="005B6E0D" w:rsidRDefault="00000000">
            <w:r>
              <w:t>Many independent buyers &amp; sellers</w:t>
            </w:r>
          </w:p>
        </w:tc>
        <w:tc>
          <w:tcPr>
            <w:tcW w:w="5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5CDA0C9" w14:textId="77777777" w:rsidR="005B6E0D" w:rsidRDefault="00000000">
            <w:r>
              <w:t>Growing, but supply is concentrated (Nvidia; a few clouds). Concentration enables manipulation.</w:t>
            </w:r>
          </w:p>
        </w:tc>
      </w:tr>
      <w:tr w:rsidR="005B6E0D" w14:paraId="174C997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54FE" w14:textId="77777777" w:rsidR="005B6E0D" w:rsidRDefault="00000000">
            <w:r>
              <w:t>A trusted reference price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7202" w14:textId="77777777" w:rsidR="005B6E0D" w:rsidRDefault="00000000">
            <w:r>
              <w:t xml:space="preserve">Not yet mature — the central open problem (Silicon Data, </w:t>
            </w:r>
            <w:proofErr w:type="spellStart"/>
            <w:r>
              <w:t>Ornn</w:t>
            </w:r>
            <w:proofErr w:type="spellEnd"/>
            <w:r>
              <w:t xml:space="preserve"> are attempts).</w:t>
            </w:r>
          </w:p>
        </w:tc>
      </w:tr>
    </w:tbl>
    <w:p w14:paraId="70A8ECF5" w14:textId="77777777" w:rsidR="005B6E0D" w:rsidRDefault="00000000">
      <w:pPr>
        <w:spacing w:after="160" w:line="276" w:lineRule="auto"/>
      </w:pPr>
      <w:r>
        <w:rPr>
          <w:b/>
          <w:bCs/>
        </w:rPr>
        <w:t xml:space="preserve">The reasoning payoff: </w:t>
      </w:r>
      <w:r>
        <w:t xml:space="preserve">compute is </w:t>
      </w:r>
      <w:r>
        <w:rPr>
          <w:i/>
          <w:iCs/>
        </w:rPr>
        <w:t>commodity-like in its economics</w:t>
      </w:r>
      <w:r>
        <w:t xml:space="preserve"> (volatile, standardisable price) but </w:t>
      </w:r>
      <w:r>
        <w:rPr>
          <w:i/>
          <w:iCs/>
        </w:rPr>
        <w:t>unlike commodities in its physics</w:t>
      </w:r>
      <w:r>
        <w:t xml:space="preserve"> (non-fungible, non-storable). The closest real </w:t>
      </w:r>
      <w:proofErr w:type="spellStart"/>
      <w:r>
        <w:t>analog</w:t>
      </w:r>
      <w:proofErr w:type="spellEnd"/>
      <w:r>
        <w:t xml:space="preserve"> is therefore not oil — it is </w:t>
      </w:r>
      <w:r>
        <w:rPr>
          <w:b/>
          <w:bCs/>
        </w:rPr>
        <w:t>electricity</w:t>
      </w:r>
      <w:r>
        <w:t>: a non-storable, location-dependent commodity that is nonetheless heavily financialised through power futures. That analogy will serve your report better than the lazy “compute is the new oil” line, and you can defend it.</w:t>
      </w:r>
    </w:p>
    <w:p w14:paraId="1B9754B7" w14:textId="77777777" w:rsidR="005B6E0D" w:rsidRDefault="00000000">
      <w:pPr>
        <w:pStyle w:val="Heading2"/>
      </w:pPr>
      <w:proofErr w:type="gramStart"/>
      <w:r>
        <w:t>2.3  Reason</w:t>
      </w:r>
      <w:proofErr w:type="gramEnd"/>
      <w:r>
        <w:t xml:space="preserve"> from the cost stack, not from market hype</w:t>
      </w:r>
    </w:p>
    <w:p w14:paraId="17999E90" w14:textId="77777777" w:rsidR="005B6E0D" w:rsidRDefault="00000000">
      <w:pPr>
        <w:spacing w:after="160" w:line="276" w:lineRule="auto"/>
      </w:pPr>
      <w:r>
        <w:t xml:space="preserve">To judge whether compute prices are “high” or a bubble, build the price from the bottom up. A GPU-hour's cost is ultimately: </w:t>
      </w:r>
      <w:r>
        <w:rPr>
          <w:b/>
          <w:bCs/>
        </w:rPr>
        <w:t>hardware</w:t>
      </w:r>
      <w:r>
        <w:t xml:space="preserve"> (amortised cost of the GPU and server over its useful life) + </w:t>
      </w:r>
      <w:r>
        <w:rPr>
          <w:b/>
          <w:bCs/>
        </w:rPr>
        <w:t>power</w:t>
      </w:r>
      <w:r>
        <w:t xml:space="preserve"> (electricity to run and cool it) + </w:t>
      </w:r>
      <w:r>
        <w:rPr>
          <w:b/>
          <w:bCs/>
        </w:rPr>
        <w:t>data-centre</w:t>
      </w:r>
      <w:r>
        <w:t xml:space="preserve"> (space, networking, staff) + </w:t>
      </w:r>
      <w:r>
        <w:rPr>
          <w:b/>
          <w:bCs/>
        </w:rPr>
        <w:t>cost of capital</w:t>
      </w:r>
      <w:r>
        <w:t xml:space="preserve"> (these are billions in financed assets) + </w:t>
      </w:r>
      <w:r>
        <w:rPr>
          <w:b/>
          <w:bCs/>
        </w:rPr>
        <w:t>margin</w:t>
      </w:r>
      <w:r>
        <w:t xml:space="preserve">. If a market rental price drifts far above </w:t>
      </w:r>
      <w:r>
        <w:lastRenderedPageBreak/>
        <w:t>or below this bottom-up floor, that gap is the thing to explain — it is either scarcity rent, a subsidy, or mispricing. Always ask which.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6E0D" w14:paraId="05BD48DD" w14:textId="77777777">
        <w:tblPrEx>
          <w:tblCellMar>
            <w:top w:w="0" w:type="dxa"/>
            <w:bottom w:w="0" w:type="dxa"/>
          </w:tblCellMar>
        </w:tblPrEx>
        <w:tc>
          <w:tcPr>
            <w:tcW w:w="9360" w:type="dxa"/>
            <w:tcBorders>
              <w:top w:val="single" w:sz="6" w:space="0" w:color="2E6DB4"/>
              <w:left w:val="single" w:sz="6" w:space="0" w:color="2E6DB4"/>
              <w:bottom w:val="single" w:sz="6" w:space="0" w:color="2E6DB4"/>
              <w:right w:val="single" w:sz="6" w:space="0" w:color="2E6DB4"/>
            </w:tcBorders>
            <w:shd w:val="clear" w:color="auto" w:fill="EEF4FB"/>
            <w:tcMar>
              <w:top w:w="120" w:type="dxa"/>
              <w:left w:w="160" w:type="dxa"/>
              <w:bottom w:w="120" w:type="dxa"/>
              <w:right w:w="160" w:type="dxa"/>
            </w:tcMar>
          </w:tcPr>
          <w:p w14:paraId="7B64C8FC" w14:textId="77777777" w:rsidR="005B6E0D" w:rsidRDefault="00000000">
            <w:pPr>
              <w:spacing w:after="80"/>
            </w:pPr>
            <w:r>
              <w:rPr>
                <w:b/>
                <w:bCs/>
                <w:color w:val="2E6DB4"/>
              </w:rPr>
              <w:t>FLOPs sanity-check for demand</w:t>
            </w:r>
          </w:p>
          <w:p w14:paraId="647F611C" w14:textId="77777777" w:rsidR="005B6E0D" w:rsidRDefault="00000000">
            <w:pPr>
              <w:spacing w:after="60" w:line="270" w:lineRule="auto"/>
            </w:pPr>
            <w:r>
              <w:t xml:space="preserve">On the demand side, you can ground forecasts in physics. For transformer inference, a useful rule of thumb is roughly </w:t>
            </w:r>
            <w:r>
              <w:rPr>
                <w:b/>
                <w:bCs/>
              </w:rPr>
              <w:t>2 × N FLOPs per token</w:t>
            </w:r>
            <w:r>
              <w:t xml:space="preserve"> (N = model parameters), with an additional attention term that matters only at long context; training costs about </w:t>
            </w:r>
            <w:r>
              <w:rPr>
                <w:b/>
                <w:bCs/>
              </w:rPr>
              <w:t>3× that (≈6N per token)</w:t>
            </w:r>
            <w:r>
              <w:t>. So if someone forecasts “120 quadrillion tokens/month by 2030” (</w:t>
            </w:r>
            <w:hyperlink r:id="rId17" w:history="1">
              <w:r>
                <w:rPr>
                  <w:rStyle w:val="Hyperlink"/>
                  <w:color w:val="2E6DB4"/>
                </w:rPr>
                <w:t>a Goldman estimate cited in the CME coverage</w:t>
              </w:r>
            </w:hyperlink>
            <w:r>
              <w:t>), you can convert that into a FLOPs demand, divide by realistic per-GPU throughput, and get an independent estimate of how many GPUs the world needs. That is a first-principles demand model — far stronger than quoting someone else's capex headline.</w:t>
            </w:r>
          </w:p>
        </w:tc>
      </w:tr>
    </w:tbl>
    <w:p w14:paraId="49A10A05" w14:textId="77777777" w:rsidR="005B6E0D" w:rsidRDefault="00000000">
      <w:pPr>
        <w:pStyle w:val="Heading2"/>
      </w:pPr>
      <w:proofErr w:type="gramStart"/>
      <w:r>
        <w:t>2.4  Use</w:t>
      </w:r>
      <w:proofErr w:type="gramEnd"/>
      <w:r>
        <w:t xml:space="preserve"> the “why does this market not already exist?” test</w:t>
      </w:r>
    </w:p>
    <w:p w14:paraId="420A4373" w14:textId="77777777" w:rsidR="005B6E0D" w:rsidRDefault="00000000">
      <w:pPr>
        <w:spacing w:after="160" w:line="276" w:lineRule="auto"/>
      </w:pPr>
      <w:r>
        <w:t>Whenever something is presented as inevitable, invert it: ask why it hasn't happened until now, and what specifically changed. For compute futures the honest answer is a checklist of preconditions, each of which you can verify is now (partly) met:</w:t>
      </w:r>
    </w:p>
    <w:p w14:paraId="1ECA6041" w14:textId="77777777" w:rsidR="005B6E0D" w:rsidRDefault="00000000">
      <w:pPr>
        <w:pStyle w:val="ListParagraph"/>
        <w:numPr>
          <w:ilvl w:val="0"/>
          <w:numId w:val="3"/>
        </w:numPr>
        <w:spacing w:after="100" w:line="270" w:lineRule="auto"/>
      </w:pPr>
      <w:r>
        <w:rPr>
          <w:b/>
          <w:bCs/>
        </w:rPr>
        <w:t>Enough volatility to create hedging demand</w:t>
      </w:r>
    </w:p>
    <w:p w14:paraId="54DB7068" w14:textId="77777777" w:rsidR="005B6E0D" w:rsidRDefault="00000000">
      <w:pPr>
        <w:pStyle w:val="ListParagraph"/>
        <w:numPr>
          <w:ilvl w:val="0"/>
          <w:numId w:val="3"/>
        </w:numPr>
        <w:spacing w:after="100" w:line="270" w:lineRule="auto"/>
      </w:pPr>
      <w:r>
        <w:rPr>
          <w:b/>
          <w:bCs/>
        </w:rPr>
        <w:t>A standardisable unit</w:t>
      </w:r>
      <w:r>
        <w:t xml:space="preserve"> (GPU-hour)</w:t>
      </w:r>
    </w:p>
    <w:p w14:paraId="01743AF9" w14:textId="77777777" w:rsidR="005B6E0D" w:rsidRDefault="00000000">
      <w:pPr>
        <w:pStyle w:val="ListParagraph"/>
        <w:numPr>
          <w:ilvl w:val="0"/>
          <w:numId w:val="3"/>
        </w:numPr>
        <w:spacing w:after="100" w:line="270" w:lineRule="auto"/>
      </w:pPr>
      <w:r>
        <w:rPr>
          <w:b/>
          <w:bCs/>
        </w:rPr>
        <w:t>A credible price index</w:t>
      </w:r>
      <w:r>
        <w:t xml:space="preserve"> (the still-immature piece)</w:t>
      </w:r>
    </w:p>
    <w:p w14:paraId="6307193A" w14:textId="77777777" w:rsidR="005B6E0D" w:rsidRDefault="00000000">
      <w:pPr>
        <w:pStyle w:val="ListParagraph"/>
        <w:numPr>
          <w:ilvl w:val="0"/>
          <w:numId w:val="3"/>
        </w:numPr>
        <w:spacing w:after="100" w:line="270" w:lineRule="auto"/>
      </w:pPr>
      <w:r>
        <w:rPr>
          <w:b/>
          <w:bCs/>
        </w:rPr>
        <w:t>Enough independent participants for liquidity</w:t>
      </w:r>
    </w:p>
    <w:p w14:paraId="225FBDCF" w14:textId="77777777" w:rsidR="005B6E0D" w:rsidRDefault="00000000">
      <w:pPr>
        <w:pStyle w:val="ListParagraph"/>
        <w:numPr>
          <w:ilvl w:val="0"/>
          <w:numId w:val="3"/>
        </w:numPr>
        <w:spacing w:after="100" w:line="270" w:lineRule="auto"/>
      </w:pPr>
      <w:r>
        <w:rPr>
          <w:b/>
          <w:bCs/>
        </w:rPr>
        <w:t>Regulatory willingness</w:t>
      </w:r>
      <w:r>
        <w:t xml:space="preserve"> (CFTC approval; CME/ICE involvement signals this)</w:t>
      </w:r>
    </w:p>
    <w:p w14:paraId="4E01772E" w14:textId="77777777" w:rsidR="005B6E0D" w:rsidRDefault="00000000">
      <w:pPr>
        <w:spacing w:after="160" w:line="276" w:lineRule="auto"/>
      </w:pPr>
      <w:r>
        <w:t xml:space="preserve">If any precondition is weak, the market will be thin or fragile. This checklist </w:t>
      </w:r>
      <w:r>
        <w:rPr>
          <w:i/>
          <w:iCs/>
        </w:rPr>
        <w:t>is</w:t>
      </w:r>
      <w:r>
        <w:t xml:space="preserve"> your risk framework — you derived it rather than borrowing it.</w:t>
      </w:r>
    </w:p>
    <w:p w14:paraId="2945F668" w14:textId="77777777" w:rsidR="005B6E0D" w:rsidRDefault="00000000">
      <w:pPr>
        <w:pStyle w:val="Heading2"/>
      </w:pPr>
      <w:proofErr w:type="gramStart"/>
      <w:r>
        <w:t>2.5  Separate</w:t>
      </w:r>
      <w:proofErr w:type="gramEnd"/>
      <w:r>
        <w:t xml:space="preserve"> the three bets that look like one bet</w:t>
      </w:r>
    </w:p>
    <w:p w14:paraId="7C0AAD53" w14:textId="77777777" w:rsidR="005B6E0D" w:rsidRDefault="00000000">
      <w:pPr>
        <w:spacing w:after="160" w:line="276" w:lineRule="auto"/>
      </w:pPr>
      <w:r>
        <w:t>When the report says “we like the compute-</w:t>
      </w:r>
      <w:proofErr w:type="spellStart"/>
      <w:r>
        <w:t>financialisation</w:t>
      </w:r>
      <w:proofErr w:type="spellEnd"/>
      <w:r>
        <w:t xml:space="preserve"> theme,” notice that hides three distinct, separable bets. Keep them apart so a reader can disagree with one without rejecting all:</w:t>
      </w:r>
    </w:p>
    <w:p w14:paraId="40A8362C" w14:textId="77777777" w:rsidR="005B6E0D" w:rsidRDefault="00000000">
      <w:pPr>
        <w:pStyle w:val="ListParagraph"/>
        <w:numPr>
          <w:ilvl w:val="0"/>
          <w:numId w:val="2"/>
        </w:numPr>
        <w:spacing w:after="100" w:line="270" w:lineRule="auto"/>
      </w:pPr>
      <w:r>
        <w:rPr>
          <w:b/>
          <w:bCs/>
        </w:rPr>
        <w:t xml:space="preserve">Bet 1 — the underlying grows: </w:t>
      </w:r>
      <w:r>
        <w:t>AI compute demand and spend keep rising. (Mostly a macro/AI-adoption bet.)</w:t>
      </w:r>
    </w:p>
    <w:p w14:paraId="10331AEB" w14:textId="77777777" w:rsidR="005B6E0D" w:rsidRDefault="00000000">
      <w:pPr>
        <w:pStyle w:val="ListParagraph"/>
        <w:numPr>
          <w:ilvl w:val="0"/>
          <w:numId w:val="2"/>
        </w:numPr>
        <w:spacing w:after="100" w:line="270" w:lineRule="auto"/>
      </w:pPr>
      <w:r>
        <w:rPr>
          <w:b/>
          <w:bCs/>
        </w:rPr>
        <w:t xml:space="preserve">Bet 2 — it gets financialised: </w:t>
      </w:r>
      <w:r>
        <w:t>a liquid derivatives market on compute actually forms and is used. (A market-structure bet — independent of Bet 1; oil can boom without anyone trading oil futures.)</w:t>
      </w:r>
    </w:p>
    <w:p w14:paraId="139C5030" w14:textId="77777777" w:rsidR="005B6E0D" w:rsidRDefault="00000000">
      <w:pPr>
        <w:pStyle w:val="ListParagraph"/>
        <w:numPr>
          <w:ilvl w:val="0"/>
          <w:numId w:val="2"/>
        </w:numPr>
        <w:spacing w:after="100" w:line="270" w:lineRule="auto"/>
      </w:pPr>
      <w:r>
        <w:rPr>
          <w:b/>
          <w:bCs/>
        </w:rPr>
        <w:t xml:space="preserve">Bet 3 — a specific company wins: </w:t>
      </w:r>
      <w:r>
        <w:t xml:space="preserve">Architect (vs CME/ICE), or TAO, or </w:t>
      </w:r>
      <w:proofErr w:type="spellStart"/>
      <w:r>
        <w:t>FalconX</w:t>
      </w:r>
      <w:proofErr w:type="spellEnd"/>
      <w:r>
        <w:t xml:space="preserve"> captures the value. (A competitive bet — the hardest, and where most equity returns are actually won or lost.)</w:t>
      </w:r>
    </w:p>
    <w:p w14:paraId="6EBCF85B" w14:textId="77777777" w:rsidR="005B6E0D" w:rsidRDefault="00000000">
      <w:pPr>
        <w:spacing w:after="160" w:line="276" w:lineRule="auto"/>
      </w:pPr>
      <w:r>
        <w:rPr>
          <w:b/>
          <w:bCs/>
        </w:rPr>
        <w:lastRenderedPageBreak/>
        <w:t xml:space="preserve">Discipline: </w:t>
      </w:r>
      <w:r>
        <w:t>for each company, state which bet(s) it is exposed to and rate your confidence separately. Most analytical errors come from a strong Bet 1 being smuggled in to justify a weak Bet 3.</w:t>
      </w:r>
    </w:p>
    <w:p w14:paraId="6290C0BB" w14:textId="77777777" w:rsidR="005B6E0D" w:rsidRDefault="00000000">
      <w:pPr>
        <w:pStyle w:val="Heading2"/>
      </w:pPr>
      <w:proofErr w:type="gramStart"/>
      <w:r>
        <w:t>2.6  Follow</w:t>
      </w:r>
      <w:proofErr w:type="gramEnd"/>
      <w:r>
        <w:t xml:space="preserve"> the incentives, especially in crypto</w:t>
      </w:r>
    </w:p>
    <w:p w14:paraId="663EA192" w14:textId="77777777" w:rsidR="005B6E0D" w:rsidRDefault="00000000">
      <w:pPr>
        <w:spacing w:after="160" w:line="276" w:lineRule="auto"/>
      </w:pPr>
      <w:r>
        <w:t xml:space="preserve">For token-based systems like </w:t>
      </w:r>
      <w:proofErr w:type="spellStart"/>
      <w:r>
        <w:t>Bittensor</w:t>
      </w:r>
      <w:proofErr w:type="spellEnd"/>
      <w:r>
        <w:t>, the first-principles question is not “is the technology cool?” but “</w:t>
      </w:r>
      <w:r>
        <w:rPr>
          <w:b/>
          <w:bCs/>
        </w:rPr>
        <w:t>who is paid, for doing what, in what token, and is that behaviour the behaviour you actually want?</w:t>
      </w:r>
      <w:r>
        <w:t xml:space="preserve">” Crypto-economic systems do exactly what they reward, not what their whitepaper hopes. </w:t>
      </w:r>
      <w:proofErr w:type="gramStart"/>
      <w:r>
        <w:t>So</w:t>
      </w:r>
      <w:proofErr w:type="gramEnd"/>
      <w:r>
        <w:t xml:space="preserve"> check: is TAO rewarding genuinely useful AI outputs that external customers pay for, or is it rewarding </w:t>
      </w:r>
      <w:r>
        <w:rPr>
          <w:i/>
          <w:iCs/>
        </w:rPr>
        <w:t>the appearance</w:t>
      </w:r>
      <w:r>
        <w:t xml:space="preserve"> of useful work to farm token emissions? The reported </w:t>
      </w:r>
      <w:hyperlink r:id="rId18" w:history="1">
        <w:r>
          <w:rPr>
            <w:rStyle w:val="Hyperlink"/>
            <w:color w:val="2E6DB4"/>
          </w:rPr>
          <w:t>concentration of emissions among a few validators</w:t>
        </w:r>
      </w:hyperlink>
      <w:r>
        <w:t xml:space="preserve"> is a red flag that the incentives and the stated mission may have drifted apart. Always separate “real external demand” from “internal reward-farming.”</w:t>
      </w:r>
    </w:p>
    <w:p w14:paraId="0BC93D80" w14:textId="77777777" w:rsidR="005B6E0D" w:rsidRDefault="00000000">
      <w:pPr>
        <w:pStyle w:val="Heading2"/>
      </w:pPr>
      <w:proofErr w:type="gramStart"/>
      <w:r>
        <w:t>2.7  Distinguish</w:t>
      </w:r>
      <w:proofErr w:type="gramEnd"/>
      <w:r>
        <w:t xml:space="preserve"> the spot price from the forward curve (and what it tells you)</w:t>
      </w:r>
    </w:p>
    <w:p w14:paraId="42491AB6" w14:textId="77777777" w:rsidR="005B6E0D" w:rsidRDefault="00000000">
      <w:pPr>
        <w:spacing w:after="160" w:line="276" w:lineRule="auto"/>
      </w:pPr>
      <w:r>
        <w:t xml:space="preserve">A single price tells you little; the </w:t>
      </w:r>
      <w:r>
        <w:rPr>
          <w:b/>
          <w:bCs/>
        </w:rPr>
        <w:t>shape of the forward curve</w:t>
      </w:r>
      <w:r>
        <w:t xml:space="preserve"> tells you what the market believes. If 12-month compute is cheaper than spot (a </w:t>
      </w:r>
      <w:r>
        <w:rPr>
          <w:b/>
          <w:bCs/>
        </w:rPr>
        <w:t xml:space="preserve">downward / </w:t>
      </w:r>
      <w:proofErr w:type="spellStart"/>
      <w:r>
        <w:rPr>
          <w:b/>
          <w:bCs/>
        </w:rPr>
        <w:t>backwardated</w:t>
      </w:r>
      <w:proofErr w:type="spellEnd"/>
      <w:r>
        <w:rPr>
          <w:b/>
          <w:bCs/>
        </w:rPr>
        <w:t>-looking curve</w:t>
      </w:r>
      <w:r>
        <w:t xml:space="preserve">), the market expects new GPU supply to ease prices — which is exactly what Architect's marketing curve implies (spot shown around $3.20 falling to roughly $2.30 at 12 months — </w:t>
      </w:r>
      <w:r>
        <w:rPr>
          <w:i/>
          <w:iCs/>
        </w:rPr>
        <w:t>illustrative demo figures, not a verified index</w:t>
      </w:r>
      <w:r>
        <w:t xml:space="preserve">). If forwards were </w:t>
      </w:r>
      <w:r>
        <w:rPr>
          <w:i/>
          <w:iCs/>
        </w:rPr>
        <w:t>above</w:t>
      </w:r>
      <w:r>
        <w:t xml:space="preserve"> spot, the market would be pricing prolonged scarcity. Reading the curve's slope is how you extract a forecast the market is making, rather than imposing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6E0D" w14:paraId="2AD58D11" w14:textId="77777777">
        <w:tblPrEx>
          <w:tblCellMar>
            <w:top w:w="0" w:type="dxa"/>
            <w:bottom w:w="0" w:type="dxa"/>
          </w:tblCellMar>
        </w:tblPrEx>
        <w:tc>
          <w:tcPr>
            <w:tcW w:w="9360" w:type="dxa"/>
            <w:tcBorders>
              <w:top w:val="single" w:sz="6" w:space="0" w:color="2E6DB4"/>
              <w:left w:val="single" w:sz="6" w:space="0" w:color="2E6DB4"/>
              <w:bottom w:val="single" w:sz="6" w:space="0" w:color="2E6DB4"/>
              <w:right w:val="single" w:sz="6" w:space="0" w:color="2E6DB4"/>
            </w:tcBorders>
            <w:shd w:val="clear" w:color="auto" w:fill="EEF4FB"/>
            <w:tcMar>
              <w:top w:w="120" w:type="dxa"/>
              <w:left w:w="160" w:type="dxa"/>
              <w:bottom w:w="120" w:type="dxa"/>
              <w:right w:w="160" w:type="dxa"/>
            </w:tcMar>
          </w:tcPr>
          <w:p w14:paraId="09928F56" w14:textId="77777777" w:rsidR="005B6E0D" w:rsidRDefault="00000000">
            <w:pPr>
              <w:spacing w:after="80"/>
            </w:pPr>
            <w:r>
              <w:rPr>
                <w:b/>
                <w:bCs/>
                <w:color w:val="2E6DB4"/>
              </w:rPr>
              <w:t>Source hygiene (your own stated principle)</w:t>
            </w:r>
          </w:p>
          <w:p w14:paraId="56919A33" w14:textId="77777777" w:rsidR="005B6E0D" w:rsidRDefault="00000000">
            <w:pPr>
              <w:spacing w:after="60" w:line="270" w:lineRule="auto"/>
            </w:pPr>
            <w:r>
              <w:t xml:space="preserve">You asked for defensible sources and flagged uncertainty. Apply the rule ruthlessly: a price on a </w:t>
            </w:r>
            <w:r>
              <w:rPr>
                <w:b/>
                <w:bCs/>
              </w:rPr>
              <w:t>pre-launch product's marketing page</w:t>
            </w:r>
            <w:r>
              <w:t xml:space="preserve"> (Architect currently shows “sign up for early access”) is a </w:t>
            </w:r>
            <w:r>
              <w:rPr>
                <w:b/>
                <w:bCs/>
              </w:rPr>
              <w:t>demo</w:t>
            </w:r>
            <w:r>
              <w:t xml:space="preserve">, not market data. A figure in a </w:t>
            </w:r>
            <w:r>
              <w:rPr>
                <w:b/>
                <w:bCs/>
              </w:rPr>
              <w:t>company press release or S-1</w:t>
            </w:r>
            <w:r>
              <w:t xml:space="preserve"> is self-reported. A forecast (capex by 2030, tokens/month) is a </w:t>
            </w:r>
            <w:r>
              <w:rPr>
                <w:b/>
                <w:bCs/>
              </w:rPr>
              <w:t>model output</w:t>
            </w:r>
            <w:r>
              <w:t xml:space="preserve">, sensitive to assumptions. Tier your sources — </w:t>
            </w:r>
            <w:proofErr w:type="spellStart"/>
            <w:r>
              <w:t>regulator</w:t>
            </w:r>
            <w:proofErr w:type="spellEnd"/>
            <w:r>
              <w:t xml:space="preserve"> filings and exchange announcements above trade press above company marketing — and label every load-bearing number with its tier in the report.</w:t>
            </w:r>
          </w:p>
        </w:tc>
      </w:tr>
    </w:tbl>
    <w:p w14:paraId="5D918649" w14:textId="77777777" w:rsidR="005B6E0D" w:rsidRDefault="00000000">
      <w:pPr>
        <w:pStyle w:val="Heading2"/>
      </w:pPr>
      <w:proofErr w:type="gramStart"/>
      <w:r>
        <w:t>2.8  A</w:t>
      </w:r>
      <w:proofErr w:type="gramEnd"/>
      <w:r>
        <w:t xml:space="preserve"> reusable five-step recipe</w:t>
      </w:r>
    </w:p>
    <w:p w14:paraId="32D998CE" w14:textId="77777777" w:rsidR="005B6E0D" w:rsidRDefault="00000000">
      <w:pPr>
        <w:spacing w:after="160" w:line="276" w:lineRule="auto"/>
      </w:pPr>
      <w:r>
        <w:t>Putting it together, here is the loop to run on any company or claim in this space:</w:t>
      </w:r>
    </w:p>
    <w:p w14:paraId="60C7DB18" w14:textId="77777777" w:rsidR="005B6E0D" w:rsidRDefault="00000000">
      <w:pPr>
        <w:pStyle w:val="ListParagraph"/>
        <w:numPr>
          <w:ilvl w:val="0"/>
          <w:numId w:val="3"/>
        </w:numPr>
        <w:spacing w:after="100" w:line="270" w:lineRule="auto"/>
      </w:pPr>
      <w:r>
        <w:rPr>
          <w:b/>
          <w:bCs/>
        </w:rPr>
        <w:t xml:space="preserve">Define the unit. </w:t>
      </w:r>
      <w:r>
        <w:t>What precisely is priced? If you can't say, stop.</w:t>
      </w:r>
    </w:p>
    <w:p w14:paraId="6E2D13C3" w14:textId="77777777" w:rsidR="005B6E0D" w:rsidRDefault="00000000">
      <w:pPr>
        <w:pStyle w:val="ListParagraph"/>
        <w:numPr>
          <w:ilvl w:val="0"/>
          <w:numId w:val="3"/>
        </w:numPr>
        <w:spacing w:after="100" w:line="270" w:lineRule="auto"/>
      </w:pPr>
      <w:r>
        <w:rPr>
          <w:b/>
          <w:bCs/>
        </w:rPr>
        <w:t xml:space="preserve">Run the commodity test. </w:t>
      </w:r>
      <w:r>
        <w:t xml:space="preserve">Which commodity properties hold, which fail, and what's the best real-world </w:t>
      </w:r>
      <w:proofErr w:type="spellStart"/>
      <w:r>
        <w:t>analog</w:t>
      </w:r>
      <w:proofErr w:type="spellEnd"/>
      <w:r>
        <w:t>?</w:t>
      </w:r>
    </w:p>
    <w:p w14:paraId="525C1D32" w14:textId="77777777" w:rsidR="005B6E0D" w:rsidRDefault="00000000">
      <w:pPr>
        <w:pStyle w:val="ListParagraph"/>
        <w:numPr>
          <w:ilvl w:val="0"/>
          <w:numId w:val="3"/>
        </w:numPr>
        <w:spacing w:after="100" w:line="270" w:lineRule="auto"/>
      </w:pPr>
      <w:r>
        <w:rPr>
          <w:b/>
          <w:bCs/>
        </w:rPr>
        <w:t xml:space="preserve">Build the cost stack bottom-up </w:t>
      </w:r>
      <w:r>
        <w:t>and compare to the observed price; explain the gap.</w:t>
      </w:r>
    </w:p>
    <w:p w14:paraId="32D8DCA9" w14:textId="77777777" w:rsidR="005B6E0D" w:rsidRDefault="00000000">
      <w:pPr>
        <w:pStyle w:val="ListParagraph"/>
        <w:numPr>
          <w:ilvl w:val="0"/>
          <w:numId w:val="3"/>
        </w:numPr>
        <w:spacing w:after="100" w:line="270" w:lineRule="auto"/>
      </w:pPr>
      <w:r>
        <w:rPr>
          <w:b/>
          <w:bCs/>
        </w:rPr>
        <w:t xml:space="preserve">Check the market-formation preconditions </w:t>
      </w:r>
      <w:r>
        <w:t>(volatility, unit, index, liquidity, regulation).</w:t>
      </w:r>
    </w:p>
    <w:p w14:paraId="4495FC89" w14:textId="77777777" w:rsidR="005B6E0D" w:rsidRDefault="00000000">
      <w:pPr>
        <w:pStyle w:val="ListParagraph"/>
        <w:numPr>
          <w:ilvl w:val="0"/>
          <w:numId w:val="3"/>
        </w:numPr>
        <w:spacing w:after="100" w:line="270" w:lineRule="auto"/>
      </w:pPr>
      <w:r>
        <w:rPr>
          <w:b/>
          <w:bCs/>
        </w:rPr>
        <w:lastRenderedPageBreak/>
        <w:t xml:space="preserve">Separate the three bets </w:t>
      </w:r>
      <w:r>
        <w:t xml:space="preserve">(underlying / </w:t>
      </w:r>
      <w:proofErr w:type="spellStart"/>
      <w:r>
        <w:t>financialisation</w:t>
      </w:r>
      <w:proofErr w:type="spellEnd"/>
      <w:r>
        <w:t xml:space="preserve"> / specific company) and follow the incentives. Then, and only then, form a view.</w:t>
      </w:r>
    </w:p>
    <w:p w14:paraId="4905F600" w14:textId="77777777" w:rsidR="005B6E0D" w:rsidRDefault="00000000">
      <w:r>
        <w:br w:type="page"/>
      </w:r>
    </w:p>
    <w:p w14:paraId="04BB3CDD" w14:textId="77777777" w:rsidR="005B6E0D" w:rsidRDefault="00000000">
      <w:pPr>
        <w:pStyle w:val="Heading1"/>
      </w:pPr>
      <w:r>
        <w:lastRenderedPageBreak/>
        <w:t>Appendix — Sources &amp; Verification Notes</w:t>
      </w:r>
    </w:p>
    <w:p w14:paraId="1E1A9C1D" w14:textId="77777777" w:rsidR="005B6E0D" w:rsidRDefault="00000000">
      <w:pPr>
        <w:spacing w:after="160" w:line="276" w:lineRule="auto"/>
      </w:pPr>
      <w:r>
        <w:rPr>
          <w:i/>
          <w:iCs/>
        </w:rPr>
        <w:t>Tiered by reliability. Verify the load-bearing ones before citing in the final report.</w:t>
      </w:r>
    </w:p>
    <w:p w14:paraId="7DE3D65A" w14:textId="77777777" w:rsidR="005B6E0D" w:rsidRDefault="00000000">
      <w:pPr>
        <w:pStyle w:val="Heading3"/>
      </w:pPr>
      <w:r>
        <w:t>Primary / exchange &amp; regulator</w:t>
      </w:r>
    </w:p>
    <w:p w14:paraId="28A34863" w14:textId="77777777" w:rsidR="005B6E0D" w:rsidRDefault="00000000">
      <w:pPr>
        <w:pStyle w:val="ListParagraph"/>
        <w:numPr>
          <w:ilvl w:val="0"/>
          <w:numId w:val="2"/>
        </w:numPr>
        <w:spacing w:after="100" w:line="270" w:lineRule="auto"/>
      </w:pPr>
      <w:hyperlink r:id="rId19" w:history="1">
        <w:r>
          <w:rPr>
            <w:rStyle w:val="Hyperlink"/>
            <w:color w:val="2E6DB4"/>
          </w:rPr>
          <w:t>Architect — company site &amp; product description (architect.co)</w:t>
        </w:r>
      </w:hyperlink>
      <w:r>
        <w:t xml:space="preserve">  — note: pre-launch; on-page prices are demo figures.</w:t>
      </w:r>
    </w:p>
    <w:p w14:paraId="1B1CC406" w14:textId="77777777" w:rsidR="005B6E0D" w:rsidRDefault="00000000">
      <w:pPr>
        <w:pStyle w:val="ListParagraph"/>
        <w:numPr>
          <w:ilvl w:val="0"/>
          <w:numId w:val="2"/>
        </w:numPr>
        <w:spacing w:after="100" w:line="270" w:lineRule="auto"/>
      </w:pPr>
      <w:hyperlink r:id="rId20" w:history="1">
        <w:r>
          <w:rPr>
            <w:rStyle w:val="Hyperlink"/>
            <w:color w:val="2E6DB4"/>
          </w:rPr>
          <w:t>CNBC — CME / Silicon Data compute futures (12 May 2026)</w:t>
        </w:r>
      </w:hyperlink>
    </w:p>
    <w:p w14:paraId="3998EDA7" w14:textId="77777777" w:rsidR="005B6E0D" w:rsidRDefault="00000000">
      <w:pPr>
        <w:pStyle w:val="ListParagraph"/>
        <w:numPr>
          <w:ilvl w:val="0"/>
          <w:numId w:val="2"/>
        </w:numPr>
        <w:spacing w:after="100" w:line="270" w:lineRule="auto"/>
      </w:pPr>
      <w:hyperlink r:id="rId21" w:history="1">
        <w:r>
          <w:rPr>
            <w:rStyle w:val="Hyperlink"/>
            <w:color w:val="2E6DB4"/>
          </w:rPr>
          <w:t xml:space="preserve">The Next Web — ICE / </w:t>
        </w:r>
        <w:proofErr w:type="spellStart"/>
        <w:r>
          <w:rPr>
            <w:rStyle w:val="Hyperlink"/>
            <w:color w:val="2E6DB4"/>
          </w:rPr>
          <w:t>Ornn</w:t>
        </w:r>
        <w:proofErr w:type="spellEnd"/>
        <w:r>
          <w:rPr>
            <w:rStyle w:val="Hyperlink"/>
            <w:color w:val="2E6DB4"/>
          </w:rPr>
          <w:t xml:space="preserve"> compute futures</w:t>
        </w:r>
      </w:hyperlink>
    </w:p>
    <w:p w14:paraId="3AE1E07B" w14:textId="77777777" w:rsidR="005B6E0D" w:rsidRDefault="00000000">
      <w:pPr>
        <w:pStyle w:val="ListParagraph"/>
        <w:numPr>
          <w:ilvl w:val="0"/>
          <w:numId w:val="2"/>
        </w:numPr>
        <w:spacing w:after="100" w:line="270" w:lineRule="auto"/>
      </w:pPr>
      <w:hyperlink r:id="rId22" w:history="1">
        <w:r>
          <w:rPr>
            <w:rStyle w:val="Hyperlink"/>
            <w:color w:val="2E6DB4"/>
          </w:rPr>
          <w:t xml:space="preserve">CoinDesk — </w:t>
        </w:r>
        <w:proofErr w:type="spellStart"/>
        <w:r>
          <w:rPr>
            <w:rStyle w:val="Hyperlink"/>
            <w:color w:val="2E6DB4"/>
          </w:rPr>
          <w:t>FalconX</w:t>
        </w:r>
        <w:proofErr w:type="spellEnd"/>
        <w:r>
          <w:rPr>
            <w:rStyle w:val="Hyperlink"/>
            <w:color w:val="2E6DB4"/>
          </w:rPr>
          <w:t xml:space="preserve"> confidential S-1 / IPO filing (28 May 2026)</w:t>
        </w:r>
      </w:hyperlink>
    </w:p>
    <w:p w14:paraId="066DAD19" w14:textId="77777777" w:rsidR="005B6E0D" w:rsidRDefault="00000000">
      <w:pPr>
        <w:pStyle w:val="Heading3"/>
      </w:pPr>
      <w:r>
        <w:t>Secondary / trade press &amp; analysis</w:t>
      </w:r>
    </w:p>
    <w:p w14:paraId="38964677" w14:textId="77777777" w:rsidR="005B6E0D" w:rsidRDefault="00000000">
      <w:pPr>
        <w:pStyle w:val="ListParagraph"/>
        <w:numPr>
          <w:ilvl w:val="0"/>
          <w:numId w:val="2"/>
        </w:numPr>
        <w:spacing w:after="100" w:line="270" w:lineRule="auto"/>
      </w:pPr>
      <w:hyperlink r:id="rId23" w:history="1">
        <w:proofErr w:type="spellStart"/>
        <w:r>
          <w:rPr>
            <w:rStyle w:val="Hyperlink"/>
            <w:color w:val="2E6DB4"/>
          </w:rPr>
          <w:t>TradingKey</w:t>
        </w:r>
        <w:proofErr w:type="spellEnd"/>
        <w:r>
          <w:rPr>
            <w:rStyle w:val="Hyperlink"/>
            <w:color w:val="2E6DB4"/>
          </w:rPr>
          <w:t xml:space="preserve"> — CME compute futures, H100 rental-price moves, token forecast</w:t>
        </w:r>
      </w:hyperlink>
      <w:r>
        <w:t xml:space="preserve">  — contains self-reported / third-party estimates; corroborate.</w:t>
      </w:r>
    </w:p>
    <w:p w14:paraId="781A076A" w14:textId="77777777" w:rsidR="005B6E0D" w:rsidRDefault="00000000">
      <w:pPr>
        <w:pStyle w:val="ListParagraph"/>
        <w:numPr>
          <w:ilvl w:val="0"/>
          <w:numId w:val="2"/>
        </w:numPr>
        <w:spacing w:after="100" w:line="270" w:lineRule="auto"/>
      </w:pPr>
      <w:hyperlink r:id="rId24" w:history="1">
        <w:r>
          <w:rPr>
            <w:rStyle w:val="Hyperlink"/>
            <w:color w:val="2E6DB4"/>
          </w:rPr>
          <w:t xml:space="preserve">Yellow.com — </w:t>
        </w:r>
        <w:proofErr w:type="spellStart"/>
        <w:r>
          <w:rPr>
            <w:rStyle w:val="Hyperlink"/>
            <w:color w:val="2E6DB4"/>
          </w:rPr>
          <w:t>Bittensor</w:t>
        </w:r>
        <w:proofErr w:type="spellEnd"/>
        <w:r>
          <w:rPr>
            <w:rStyle w:val="Hyperlink"/>
            <w:color w:val="2E6DB4"/>
          </w:rPr>
          <w:t xml:space="preserve"> investment thesis &amp; validator concentration</w:t>
        </w:r>
      </w:hyperlink>
    </w:p>
    <w:p w14:paraId="199B5297" w14:textId="77777777" w:rsidR="005B6E0D" w:rsidRDefault="00000000">
      <w:pPr>
        <w:pStyle w:val="ListParagraph"/>
        <w:numPr>
          <w:ilvl w:val="0"/>
          <w:numId w:val="2"/>
        </w:numPr>
        <w:spacing w:after="100" w:line="270" w:lineRule="auto"/>
      </w:pPr>
      <w:hyperlink r:id="rId25" w:history="1">
        <w:r>
          <w:rPr>
            <w:rStyle w:val="Hyperlink"/>
            <w:color w:val="2E6DB4"/>
          </w:rPr>
          <w:t xml:space="preserve">Crypto Times — </w:t>
        </w:r>
        <w:proofErr w:type="spellStart"/>
        <w:r>
          <w:rPr>
            <w:rStyle w:val="Hyperlink"/>
            <w:color w:val="2E6DB4"/>
          </w:rPr>
          <w:t>Bittensor</w:t>
        </w:r>
        <w:proofErr w:type="spellEnd"/>
        <w:r>
          <w:rPr>
            <w:rStyle w:val="Hyperlink"/>
            <w:color w:val="2E6DB4"/>
          </w:rPr>
          <w:t xml:space="preserve"> mechanics, halving, emissions</w:t>
        </w:r>
      </w:hyperlink>
    </w:p>
    <w:p w14:paraId="76BC1FAD" w14:textId="77777777" w:rsidR="005B6E0D" w:rsidRDefault="00000000">
      <w:pPr>
        <w:pStyle w:val="ListParagraph"/>
        <w:numPr>
          <w:ilvl w:val="0"/>
          <w:numId w:val="2"/>
        </w:numPr>
        <w:spacing w:after="100" w:line="270" w:lineRule="auto"/>
      </w:pPr>
      <w:hyperlink r:id="rId26" w:history="1">
        <w:proofErr w:type="spellStart"/>
        <w:r>
          <w:rPr>
            <w:rStyle w:val="Hyperlink"/>
            <w:color w:val="2E6DB4"/>
          </w:rPr>
          <w:t>FalconX</w:t>
        </w:r>
        <w:proofErr w:type="spellEnd"/>
        <w:r>
          <w:rPr>
            <w:rStyle w:val="Hyperlink"/>
            <w:color w:val="2E6DB4"/>
          </w:rPr>
          <w:t xml:space="preserve"> — about / services</w:t>
        </w:r>
      </w:hyperlink>
    </w:p>
    <w:p w14:paraId="2A183239" w14:textId="77777777" w:rsidR="005B6E0D" w:rsidRDefault="00000000">
      <w:pPr>
        <w:spacing w:after="160" w:line="276" w:lineRule="auto"/>
      </w:pPr>
      <w:r>
        <w:rPr>
          <w:b/>
          <w:bCs/>
        </w:rPr>
        <w:t xml:space="preserve">Not used / disambiguation: </w:t>
      </w:r>
      <w:r>
        <w:t xml:space="preserve">“Architect Labs” (architectlabs.com), an AI chip-design startup that </w:t>
      </w:r>
      <w:hyperlink r:id="rId27" w:history="1">
        <w:r>
          <w:rPr>
            <w:rStyle w:val="Hyperlink"/>
            <w:color w:val="2E6DB4"/>
          </w:rPr>
          <w:t>emerged from stealth on 18 June 2026</w:t>
        </w:r>
      </w:hyperlink>
      <w:r>
        <w:t xml:space="preserve">, is a </w:t>
      </w:r>
      <w:r>
        <w:rPr>
          <w:i/>
          <w:iCs/>
        </w:rPr>
        <w:t>different company</w:t>
      </w:r>
      <w:r>
        <w:t xml:space="preserve"> from the Architect exchange (architect.co) and is not part of this thesis. Flagged to avoid confusion.</w:t>
      </w:r>
    </w:p>
    <w:sectPr w:rsidR="005B6E0D">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4B18C" w14:textId="77777777" w:rsidR="00CA4E6F" w:rsidRDefault="00CA4E6F">
      <w:r>
        <w:separator/>
      </w:r>
    </w:p>
  </w:endnote>
  <w:endnote w:type="continuationSeparator" w:id="0">
    <w:p w14:paraId="734F5506" w14:textId="77777777" w:rsidR="00CA4E6F" w:rsidRDefault="00CA4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985EE" w14:textId="77777777" w:rsidR="005B6E0D" w:rsidRDefault="00000000">
    <w:pPr>
      <w:jc w:val="center"/>
    </w:pPr>
    <w:r>
      <w:rPr>
        <w:color w:val="555555"/>
        <w:sz w:val="16"/>
        <w:szCs w:val="16"/>
      </w:rPr>
      <w:t xml:space="preserve">Compute as a Financial Asset </w:t>
    </w:r>
    <w:proofErr w:type="gramStart"/>
    <w:r>
      <w:rPr>
        <w:color w:val="555555"/>
        <w:sz w:val="16"/>
        <w:szCs w:val="16"/>
      </w:rPr>
      <w:t>Class  •</w:t>
    </w:r>
    <w:proofErr w:type="gramEnd"/>
    <w:r>
      <w:rPr>
        <w:color w:val="555555"/>
        <w:sz w:val="16"/>
        <w:szCs w:val="16"/>
      </w:rPr>
      <w:t xml:space="preserve">  background </w:t>
    </w:r>
    <w:proofErr w:type="gramStart"/>
    <w:r>
      <w:rPr>
        <w:color w:val="555555"/>
        <w:sz w:val="16"/>
        <w:szCs w:val="16"/>
      </w:rPr>
      <w:t>brief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AD40E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E9E9" w14:textId="77777777" w:rsidR="00CA4E6F" w:rsidRDefault="00CA4E6F">
      <w:r>
        <w:separator/>
      </w:r>
    </w:p>
  </w:footnote>
  <w:footnote w:type="continuationSeparator" w:id="0">
    <w:p w14:paraId="245AB326" w14:textId="77777777" w:rsidR="00CA4E6F" w:rsidRDefault="00CA4E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CE0"/>
    <w:multiLevelType w:val="hybridMultilevel"/>
    <w:tmpl w:val="CC242FDA"/>
    <w:lvl w:ilvl="0" w:tplc="1278DF04">
      <w:start w:val="1"/>
      <w:numFmt w:val="bullet"/>
      <w:lvlText w:val="•"/>
      <w:lvlJc w:val="left"/>
      <w:pPr>
        <w:ind w:left="720" w:hanging="360"/>
      </w:pPr>
    </w:lvl>
    <w:lvl w:ilvl="1" w:tplc="178CCC16">
      <w:start w:val="1"/>
      <w:numFmt w:val="bullet"/>
      <w:lvlText w:val="◦"/>
      <w:lvlJc w:val="left"/>
      <w:pPr>
        <w:ind w:left="1440" w:hanging="360"/>
      </w:pPr>
    </w:lvl>
    <w:lvl w:ilvl="2" w:tplc="1390D7D2">
      <w:numFmt w:val="decimal"/>
      <w:lvlText w:val=""/>
      <w:lvlJc w:val="left"/>
    </w:lvl>
    <w:lvl w:ilvl="3" w:tplc="541C25C2">
      <w:numFmt w:val="decimal"/>
      <w:lvlText w:val=""/>
      <w:lvlJc w:val="left"/>
    </w:lvl>
    <w:lvl w:ilvl="4" w:tplc="D9F04FE0">
      <w:numFmt w:val="decimal"/>
      <w:lvlText w:val=""/>
      <w:lvlJc w:val="left"/>
    </w:lvl>
    <w:lvl w:ilvl="5" w:tplc="9AB0C3CC">
      <w:numFmt w:val="decimal"/>
      <w:lvlText w:val=""/>
      <w:lvlJc w:val="left"/>
    </w:lvl>
    <w:lvl w:ilvl="6" w:tplc="FE5222BA">
      <w:numFmt w:val="decimal"/>
      <w:lvlText w:val=""/>
      <w:lvlJc w:val="left"/>
    </w:lvl>
    <w:lvl w:ilvl="7" w:tplc="836C3914">
      <w:numFmt w:val="decimal"/>
      <w:lvlText w:val=""/>
      <w:lvlJc w:val="left"/>
    </w:lvl>
    <w:lvl w:ilvl="8" w:tplc="0B60B542">
      <w:numFmt w:val="decimal"/>
      <w:lvlText w:val=""/>
      <w:lvlJc w:val="left"/>
    </w:lvl>
  </w:abstractNum>
  <w:abstractNum w:abstractNumId="1" w15:restartNumberingAfterBreak="0">
    <w:nsid w:val="411049F3"/>
    <w:multiLevelType w:val="hybridMultilevel"/>
    <w:tmpl w:val="53321E3A"/>
    <w:lvl w:ilvl="0" w:tplc="EB024FF8">
      <w:start w:val="1"/>
      <w:numFmt w:val="decimal"/>
      <w:lvlText w:val="%1."/>
      <w:lvlJc w:val="left"/>
      <w:pPr>
        <w:ind w:left="720" w:hanging="360"/>
      </w:pPr>
    </w:lvl>
    <w:lvl w:ilvl="1" w:tplc="6E06713E">
      <w:numFmt w:val="decimal"/>
      <w:lvlText w:val=""/>
      <w:lvlJc w:val="left"/>
    </w:lvl>
    <w:lvl w:ilvl="2" w:tplc="F1BC76A0">
      <w:numFmt w:val="decimal"/>
      <w:lvlText w:val=""/>
      <w:lvlJc w:val="left"/>
    </w:lvl>
    <w:lvl w:ilvl="3" w:tplc="4162C2BC">
      <w:numFmt w:val="decimal"/>
      <w:lvlText w:val=""/>
      <w:lvlJc w:val="left"/>
    </w:lvl>
    <w:lvl w:ilvl="4" w:tplc="1DFE1C72">
      <w:numFmt w:val="decimal"/>
      <w:lvlText w:val=""/>
      <w:lvlJc w:val="left"/>
    </w:lvl>
    <w:lvl w:ilvl="5" w:tplc="AB1857F8">
      <w:numFmt w:val="decimal"/>
      <w:lvlText w:val=""/>
      <w:lvlJc w:val="left"/>
    </w:lvl>
    <w:lvl w:ilvl="6" w:tplc="578C1D6E">
      <w:numFmt w:val="decimal"/>
      <w:lvlText w:val=""/>
      <w:lvlJc w:val="left"/>
    </w:lvl>
    <w:lvl w:ilvl="7" w:tplc="64720936">
      <w:numFmt w:val="decimal"/>
      <w:lvlText w:val=""/>
      <w:lvlJc w:val="left"/>
    </w:lvl>
    <w:lvl w:ilvl="8" w:tplc="9D4C167E">
      <w:numFmt w:val="decimal"/>
      <w:lvlText w:val=""/>
      <w:lvlJc w:val="left"/>
    </w:lvl>
  </w:abstractNum>
  <w:abstractNum w:abstractNumId="2" w15:restartNumberingAfterBreak="0">
    <w:nsid w:val="5FE51B90"/>
    <w:multiLevelType w:val="hybridMultilevel"/>
    <w:tmpl w:val="4A1C6518"/>
    <w:lvl w:ilvl="0" w:tplc="B956BFA6">
      <w:start w:val="1"/>
      <w:numFmt w:val="bullet"/>
      <w:lvlText w:val="●"/>
      <w:lvlJc w:val="left"/>
      <w:pPr>
        <w:ind w:left="720" w:hanging="360"/>
      </w:pPr>
    </w:lvl>
    <w:lvl w:ilvl="1" w:tplc="E5AEDF58">
      <w:start w:val="1"/>
      <w:numFmt w:val="bullet"/>
      <w:lvlText w:val="○"/>
      <w:lvlJc w:val="left"/>
      <w:pPr>
        <w:ind w:left="1440" w:hanging="360"/>
      </w:pPr>
    </w:lvl>
    <w:lvl w:ilvl="2" w:tplc="E7566080">
      <w:start w:val="1"/>
      <w:numFmt w:val="bullet"/>
      <w:lvlText w:val="■"/>
      <w:lvlJc w:val="left"/>
      <w:pPr>
        <w:ind w:left="2160" w:hanging="360"/>
      </w:pPr>
    </w:lvl>
    <w:lvl w:ilvl="3" w:tplc="6B3EA4E8">
      <w:start w:val="1"/>
      <w:numFmt w:val="bullet"/>
      <w:lvlText w:val="●"/>
      <w:lvlJc w:val="left"/>
      <w:pPr>
        <w:ind w:left="2880" w:hanging="360"/>
      </w:pPr>
    </w:lvl>
    <w:lvl w:ilvl="4" w:tplc="CA548F7E">
      <w:start w:val="1"/>
      <w:numFmt w:val="bullet"/>
      <w:lvlText w:val="○"/>
      <w:lvlJc w:val="left"/>
      <w:pPr>
        <w:ind w:left="3600" w:hanging="360"/>
      </w:pPr>
    </w:lvl>
    <w:lvl w:ilvl="5" w:tplc="60E83740">
      <w:start w:val="1"/>
      <w:numFmt w:val="bullet"/>
      <w:lvlText w:val="■"/>
      <w:lvlJc w:val="left"/>
      <w:pPr>
        <w:ind w:left="4320" w:hanging="360"/>
      </w:pPr>
    </w:lvl>
    <w:lvl w:ilvl="6" w:tplc="0A944670">
      <w:start w:val="1"/>
      <w:numFmt w:val="bullet"/>
      <w:lvlText w:val="●"/>
      <w:lvlJc w:val="left"/>
      <w:pPr>
        <w:ind w:left="5040" w:hanging="360"/>
      </w:pPr>
    </w:lvl>
    <w:lvl w:ilvl="7" w:tplc="9E7EF25A">
      <w:start w:val="1"/>
      <w:numFmt w:val="bullet"/>
      <w:lvlText w:val="●"/>
      <w:lvlJc w:val="left"/>
      <w:pPr>
        <w:ind w:left="5760" w:hanging="360"/>
      </w:pPr>
    </w:lvl>
    <w:lvl w:ilvl="8" w:tplc="2002698E">
      <w:start w:val="1"/>
      <w:numFmt w:val="bullet"/>
      <w:lvlText w:val="●"/>
      <w:lvlJc w:val="left"/>
      <w:pPr>
        <w:ind w:left="6480" w:hanging="360"/>
      </w:pPr>
    </w:lvl>
  </w:abstractNum>
  <w:num w:numId="1" w16cid:durableId="658382541">
    <w:abstractNumId w:val="2"/>
    <w:lvlOverride w:ilvl="0">
      <w:startOverride w:val="1"/>
    </w:lvlOverride>
  </w:num>
  <w:num w:numId="2" w16cid:durableId="713775510">
    <w:abstractNumId w:val="0"/>
    <w:lvlOverride w:ilvl="0">
      <w:startOverride w:val="1"/>
    </w:lvlOverride>
  </w:num>
  <w:num w:numId="3" w16cid:durableId="1660308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0D"/>
    <w:rsid w:val="005B6E0D"/>
    <w:rsid w:val="00AD40E1"/>
    <w:rsid w:val="00CA4E6F"/>
    <w:rsid w:val="00D40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106F"/>
  <w15:docId w15:val="{C9B07BF1-59CE-4FDB-959C-D6436B55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6DB4"/>
      </w:pBdr>
      <w:spacing w:before="320" w:after="200"/>
      <w:outlineLvl w:val="0"/>
    </w:pPr>
    <w:rPr>
      <w:b/>
      <w:bCs/>
      <w:color w:val="1A1A1A"/>
      <w:sz w:val="32"/>
      <w:szCs w:val="32"/>
    </w:rPr>
  </w:style>
  <w:style w:type="paragraph" w:styleId="Heading2">
    <w:name w:val="heading 2"/>
    <w:uiPriority w:val="9"/>
    <w:unhideWhenUsed/>
    <w:qFormat/>
    <w:pPr>
      <w:spacing w:before="260" w:after="140"/>
      <w:outlineLvl w:val="1"/>
    </w:pPr>
    <w:rPr>
      <w:b/>
      <w:bCs/>
      <w:color w:val="2E6DB4"/>
      <w:sz w:val="26"/>
      <w:szCs w:val="26"/>
    </w:rPr>
  </w:style>
  <w:style w:type="paragraph" w:styleId="Heading3">
    <w:name w:val="heading 3"/>
    <w:uiPriority w:val="9"/>
    <w:unhideWhenUsed/>
    <w:qFormat/>
    <w:pPr>
      <w:spacing w:before="180" w:after="100"/>
      <w:outlineLvl w:val="2"/>
    </w:pPr>
    <w:rPr>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adingkey.com/analysis/commodities/more/261892997-cme-group-gpu-oil-wti-brent-token-amazon-google-ai-stock-futures-tradingkey" TargetMode="External"/><Relationship Id="rId13" Type="http://schemas.openxmlformats.org/officeDocument/2006/relationships/hyperlink" Target="https://www.cryptotimes.io/learn/bittensor-tao-guide/" TargetMode="External"/><Relationship Id="rId18" Type="http://schemas.openxmlformats.org/officeDocument/2006/relationships/hyperlink" Target="https://yellow.com/research/bittensor-tao-decentralized-ai-investment-thesis-2026" TargetMode="External"/><Relationship Id="rId26" Type="http://schemas.openxmlformats.org/officeDocument/2006/relationships/hyperlink" Target="https://www.falconx.io/about-us" TargetMode="External"/><Relationship Id="rId3" Type="http://schemas.openxmlformats.org/officeDocument/2006/relationships/settings" Target="settings.xml"/><Relationship Id="rId21" Type="http://schemas.openxmlformats.org/officeDocument/2006/relationships/hyperlink" Target="https://thenextweb.com/news/ice-nyse-compute-futures-market-gpu-ai" TargetMode="External"/><Relationship Id="rId7" Type="http://schemas.openxmlformats.org/officeDocument/2006/relationships/hyperlink" Target="https://architect.co/" TargetMode="External"/><Relationship Id="rId12" Type="http://schemas.openxmlformats.org/officeDocument/2006/relationships/hyperlink" Target="https://www.cnbc.com/2026/05/12/new-futures-market-for-semiconductors-comes-as-ai-drives-costs-skyward.html" TargetMode="External"/><Relationship Id="rId17" Type="http://schemas.openxmlformats.org/officeDocument/2006/relationships/hyperlink" Target="https://www.tradingkey.com/analysis/commodities/more/261892997-cme-group-gpu-oil-wti-brent-token-amazon-google-ai-stock-futures-tradingkey" TargetMode="External"/><Relationship Id="rId25" Type="http://schemas.openxmlformats.org/officeDocument/2006/relationships/hyperlink" Target="https://www.cryptotimes.io/learn/bittensor-tao-guide/" TargetMode="External"/><Relationship Id="rId2" Type="http://schemas.openxmlformats.org/officeDocument/2006/relationships/styles" Target="styles.xml"/><Relationship Id="rId16" Type="http://schemas.openxmlformats.org/officeDocument/2006/relationships/hyperlink" Target="https://www.coindesk.com/business/2026/05/28/crypto-trading-firm-falconx-confidentially-files-with-sec-for-ipo-hires-bankers" TargetMode="External"/><Relationship Id="rId20" Type="http://schemas.openxmlformats.org/officeDocument/2006/relationships/hyperlink" Target="https://www.cnbc.com/2026/05/12/new-futures-market-for-semiconductors-comes-as-ai-drives-costs-skyward.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nextweb.com/news/ice-nyse-compute-futures-market-gpu-ai" TargetMode="External"/><Relationship Id="rId24" Type="http://schemas.openxmlformats.org/officeDocument/2006/relationships/hyperlink" Target="https://yellow.com/research/bittensor-tao-decentralized-ai-investment-thesis-2026" TargetMode="External"/><Relationship Id="rId5" Type="http://schemas.openxmlformats.org/officeDocument/2006/relationships/footnotes" Target="footnotes.xml"/><Relationship Id="rId15" Type="http://schemas.openxmlformats.org/officeDocument/2006/relationships/hyperlink" Target="https://www.spotedcrypto.com/falconx-sec-ipo-filing-2026-s1-crypto-prime-broker/" TargetMode="External"/><Relationship Id="rId23" Type="http://schemas.openxmlformats.org/officeDocument/2006/relationships/hyperlink" Target="https://www.tradingkey.com/analysis/commodities/more/261892997-cme-group-gpu-oil-wti-brent-token-amazon-google-ai-stock-futures-tradingkey" TargetMode="External"/><Relationship Id="rId28" Type="http://schemas.openxmlformats.org/officeDocument/2006/relationships/footer" Target="footer1.xml"/><Relationship Id="rId10" Type="http://schemas.openxmlformats.org/officeDocument/2006/relationships/hyperlink" Target="https://www.cnbc.com/2026/05/12/new-futures-market-for-semiconductors-comes-as-ai-drives-costs-skyward.html" TargetMode="External"/><Relationship Id="rId19" Type="http://schemas.openxmlformats.org/officeDocument/2006/relationships/hyperlink" Target="https://architect.co/" TargetMode="External"/><Relationship Id="rId4" Type="http://schemas.openxmlformats.org/officeDocument/2006/relationships/webSettings" Target="webSettings.xml"/><Relationship Id="rId9" Type="http://schemas.openxmlformats.org/officeDocument/2006/relationships/hyperlink" Target="https://thenextweb.com/news/ice-nyse-compute-futures-market-gpu-ai" TargetMode="External"/><Relationship Id="rId14" Type="http://schemas.openxmlformats.org/officeDocument/2006/relationships/hyperlink" Target="https://yellow.com/research/bittensor-tao-decentralized-ai-investment-thesis-2026" TargetMode="External"/><Relationship Id="rId22" Type="http://schemas.openxmlformats.org/officeDocument/2006/relationships/hyperlink" Target="https://www.coindesk.com/business/2026/05/28/crypto-trading-firm-falconx-confidentially-files-with-sec-for-ipo-hires-bankers" TargetMode="External"/><Relationship Id="rId27" Type="http://schemas.openxmlformats.org/officeDocument/2006/relationships/hyperlink" Target="https://www.businesswire.com/news/home/20260618895194/en/Architect-Labs-Raises-$24M-Seed-to-Democratize-Custom-Chip-Desig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3260</Words>
  <Characters>18585</Characters>
  <Application>Microsoft Office Word</Application>
  <DocSecurity>0</DocSecurity>
  <Lines>154</Lines>
  <Paragraphs>43</Paragraphs>
  <ScaleCrop>false</ScaleCrop>
  <Company/>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HARSH MISRA</cp:lastModifiedBy>
  <cp:revision>2</cp:revision>
  <dcterms:created xsi:type="dcterms:W3CDTF">2026-06-19T09:21:00Z</dcterms:created>
  <dcterms:modified xsi:type="dcterms:W3CDTF">2026-06-19T09:28:00Z</dcterms:modified>
</cp:coreProperties>
</file>