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sz w:val="26"/>
          <w:szCs w:val="26"/>
        </w:rPr>
        <w:t xml:space="preserve">RISKS TO HYPERLIQUID</w:t>
      </w:r>
    </w:p>
    <w:p>
      <w:pPr>
        <w:spacing w:after="160" w:line="276"/>
      </w:pPr>
      <w:r>
        <w:rPr>
          <w:rFonts w:ascii="Arial" w:cs="Arial" w:eastAsia="Arial" w:hAnsi="Arial"/>
          <w:b/>
          <w:bCs/>
          <w:sz w:val="22"/>
          <w:szCs w:val="22"/>
        </w:rPr>
        <w:t xml:space="preserve">1. Regulatory – the offshore structure cuts both ways. </w:t>
      </w:r>
      <w:r>
        <w:rPr>
          <w:rFonts w:ascii="Arial" w:cs="Arial" w:eastAsia="Arial" w:hAnsi="Arial"/>
          <w:sz w:val="22"/>
          <w:szCs w:val="22"/>
        </w:rPr>
        <w:t xml:space="preserve">Hyperliquid has no US licence and no US legal entity. The front-end is run by an offshore company (Hyperliquid Corp.), the chain is presented as "permissionless and community-driven", and US IP addresses are blocked (</w:t>
      </w:r>
      <w:hyperlink w:history="1" r:id="rIddfriylqdg4bb34bikntqg">
        <w:r>
          <w:rPr>
            <w:rStyle w:val="Hyperlink"/>
            <w:rFonts w:ascii="Arial" w:cs="Arial" w:eastAsia="Arial" w:hAnsi="Arial"/>
            <w:sz w:val="22"/>
            <w:szCs w:val="22"/>
          </w:rPr>
          <w:t xml:space="preserve">Datawallet</w:t>
        </w:r>
      </w:hyperlink>
      <w:r>
        <w:rPr>
          <w:rFonts w:ascii="Arial" w:cs="Arial" w:eastAsia="Arial" w:hAnsi="Arial"/>
          <w:sz w:val="22"/>
          <w:szCs w:val="22"/>
        </w:rPr>
        <w:t xml:space="preserve">). This is what lets it run with ~14 people and no compliance function – but it also means the largest derivatives market in the world is closed to it, and there is no obvious path to opening it. A CFTC-regulated perps venue needs KYC, sanctions screening, segregated customer funds and a named legal entity responsible for the product (</w:t>
      </w:r>
      <w:hyperlink w:history="1" r:id="rIdvjyjbtkttcuqxmlpqyup9">
        <w:r>
          <w:rPr>
            <w:rStyle w:val="Hyperlink"/>
            <w:rFonts w:ascii="Arial" w:cs="Arial" w:eastAsia="Arial" w:hAnsi="Arial"/>
            <w:sz w:val="22"/>
            <w:szCs w:val="22"/>
          </w:rPr>
          <w:t xml:space="preserve">The Block</w:t>
        </w:r>
      </w:hyperlink>
      <w:r>
        <w:rPr>
          <w:rFonts w:ascii="Arial" w:cs="Arial" w:eastAsia="Arial" w:hAnsi="Arial"/>
          <w:sz w:val="22"/>
          <w:szCs w:val="22"/>
        </w:rPr>
        <w:t xml:space="preserve">) – none of which the current design has. Any US product would therefore be a separate, wrapped version of Hyperliquid, not Hyperliquid itself, and it is not clear how much of the economics would flow back to HYPE holders.</w:t>
      </w:r>
    </w:p>
    <w:p>
      <w:pPr>
        <w:spacing w:after="160" w:line="276"/>
      </w:pPr>
      <w:r>
        <w:rPr>
          <w:rFonts w:ascii="Arial" w:cs="Arial" w:eastAsia="Arial" w:hAnsi="Arial"/>
          <w:b/>
          <w:bCs/>
          <w:sz w:val="22"/>
          <w:szCs w:val="22"/>
        </w:rPr>
        <w:t xml:space="preserve">2. The Trump comment – supportive, but it raises expectations that may not be met. </w:t>
      </w:r>
      <w:r>
        <w:rPr>
          <w:rFonts w:ascii="Arial" w:cs="Arial" w:eastAsia="Arial" w:hAnsi="Arial"/>
          <w:sz w:val="22"/>
          <w:szCs w:val="22"/>
        </w:rPr>
        <w:t xml:space="preserve">On 19 August 2026, at a White House crypto event, President Trump said CFTC Chairman Selig is "working to bring Hyperliquid into the United States in a fully compliant and legal fashion." HYPE rose ~11% on the day (</w:t>
      </w:r>
      <w:hyperlink w:history="1" r:id="rIdso3vjajpoqx6p2qknmqsl">
        <w:r>
          <w:rPr>
            <w:rStyle w:val="Hyperlink"/>
            <w:rFonts w:ascii="Arial" w:cs="Arial" w:eastAsia="Arial" w:hAnsi="Arial"/>
            <w:sz w:val="22"/>
            <w:szCs w:val="22"/>
          </w:rPr>
          <w:t xml:space="preserve">CoinDesk</w:t>
        </w:r>
      </w:hyperlink>
      <w:r>
        <w:rPr>
          <w:rFonts w:ascii="Arial" w:cs="Arial" w:eastAsia="Arial" w:hAnsi="Arial"/>
          <w:sz w:val="22"/>
          <w:szCs w:val="22"/>
        </w:rPr>
        <w:t xml:space="preserve">; </w:t>
      </w:r>
      <w:hyperlink w:history="1" r:id="rIdocdpjgaclmhno4srnbag4">
        <w:r>
          <w:rPr>
            <w:rStyle w:val="Hyperlink"/>
            <w:rFonts w:ascii="Arial" w:cs="Arial" w:eastAsia="Arial" w:hAnsi="Arial"/>
            <w:sz w:val="22"/>
            <w:szCs w:val="22"/>
          </w:rPr>
          <w:t xml:space="preserve">Bloomberg</w:t>
        </w:r>
      </w:hyperlink>
      <w:r>
        <w:rPr>
          <w:rFonts w:ascii="Arial" w:cs="Arial" w:eastAsia="Arial" w:hAnsi="Arial"/>
          <w:sz w:val="22"/>
          <w:szCs w:val="22"/>
        </w:rPr>
        <w:t xml:space="preserve">). Three things to keep in mind: (i) it is a political statement, not a rule – former SEC counsel quoted by The Block expects the required rule changes to take up to a year even with expedited treatment; (ii) the 2028 election could reverse the policy direction before anything is finished; (iii) the price now has some US access priced in, so a delay or a watered-down structure is a downside catalyst rather than a neutral event. There was also unusual call-option buying around the comments (</w:t>
      </w:r>
      <w:hyperlink w:history="1" r:id="rId6rlcqy9ggehyv8nfutzxj">
        <w:r>
          <w:rPr>
            <w:rStyle w:val="Hyperlink"/>
            <w:rFonts w:ascii="Arial" w:cs="Arial" w:eastAsia="Arial" w:hAnsi="Arial"/>
            <w:sz w:val="22"/>
            <w:szCs w:val="22"/>
          </w:rPr>
          <w:t xml:space="preserve">CNBC</w:t>
        </w:r>
      </w:hyperlink>
      <w:r>
        <w:rPr>
          <w:rFonts w:ascii="Arial" w:cs="Arial" w:eastAsia="Arial" w:hAnsi="Arial"/>
          <w:sz w:val="22"/>
          <w:szCs w:val="22"/>
        </w:rPr>
        <w:t xml:space="preserve">), which is the kind of thing that attracts scrutiny.</w:t>
      </w:r>
    </w:p>
    <w:p>
      <w:pPr>
        <w:spacing w:after="160" w:line="276"/>
      </w:pPr>
      <w:r>
        <w:rPr>
          <w:rFonts w:ascii="Arial" w:cs="Arial" w:eastAsia="Arial" w:hAnsi="Arial"/>
          <w:b/>
          <w:bCs/>
          <w:sz w:val="22"/>
          <w:szCs w:val="22"/>
        </w:rPr>
        <w:t xml:space="preserve">3. Onshore exchanges – competition and "piping in". </w:t>
      </w:r>
      <w:r>
        <w:rPr>
          <w:rFonts w:ascii="Arial" w:cs="Arial" w:eastAsia="Arial" w:hAnsi="Arial"/>
          <w:sz w:val="22"/>
          <w:szCs w:val="22"/>
        </w:rPr>
        <w:t xml:space="preserve">Two separate threats. First, regulated US venues are now offering perpetual-style contracts themselves: the CFTC has approved perps for Kalshi and given no-action relief to Coinbase, which has launched nano BTC and ETH perps and filed to add single-stock perps (</w:t>
      </w:r>
      <w:hyperlink w:history="1" r:id="rIdierdh9nrjkol6cwuqpquj">
        <w:r>
          <w:rPr>
            <w:rStyle w:val="Hyperlink"/>
            <w:rFonts w:ascii="Arial" w:cs="Arial" w:eastAsia="Arial" w:hAnsi="Arial"/>
            <w:sz w:val="22"/>
            <w:szCs w:val="22"/>
          </w:rPr>
          <w:t xml:space="preserve">FXStreet</w:t>
        </w:r>
      </w:hyperlink>
      <w:r>
        <w:rPr>
          <w:rFonts w:ascii="Arial" w:cs="Arial" w:eastAsia="Arial" w:hAnsi="Arial"/>
          <w:sz w:val="22"/>
          <w:szCs w:val="22"/>
        </w:rPr>
        <w:t xml:space="preserve">; </w:t>
      </w:r>
      <w:hyperlink w:history="1" r:id="rIdxushjx5aew5ltlmfmz7cc">
        <w:r>
          <w:rPr>
            <w:rStyle w:val="Hyperlink"/>
            <w:rFonts w:ascii="Arial" w:cs="Arial" w:eastAsia="Arial" w:hAnsi="Arial"/>
            <w:sz w:val="22"/>
            <w:szCs w:val="22"/>
          </w:rPr>
          <w:t xml:space="preserve">TechTimes</w:t>
        </w:r>
      </w:hyperlink>
      <w:r>
        <w:rPr>
          <w:rFonts w:ascii="Arial" w:cs="Arial" w:eastAsia="Arial" w:hAnsi="Arial"/>
          <w:sz w:val="22"/>
          <w:szCs w:val="22"/>
        </w:rPr>
        <w:t xml:space="preserve">). If US retail can trade perps at a broker they already use, with a familiar app and legal protection, part of the reason to go offshore disappears. Second, the route the administration is pursuing is for regulated US venues to pipe into Hyperliquid's markets rather than for Hyperliquid to enter directly (</w:t>
      </w:r>
      <w:hyperlink w:history="1" r:id="rIdtybjakdaolv1wgcvsvegb">
        <w:r>
          <w:rPr>
            <w:rStyle w:val="Hyperlink"/>
            <w:rFonts w:ascii="Arial" w:cs="Arial" w:eastAsia="Arial" w:hAnsi="Arial"/>
            <w:sz w:val="22"/>
            <w:szCs w:val="22"/>
          </w:rPr>
          <w:t xml:space="preserve">The Block</w:t>
        </w:r>
      </w:hyperlink>
      <w:r>
        <w:rPr>
          <w:rFonts w:ascii="Arial" w:cs="Arial" w:eastAsia="Arial" w:hAnsi="Arial"/>
          <w:sz w:val="22"/>
          <w:szCs w:val="22"/>
        </w:rPr>
        <w:t xml:space="preserve">). That helps volume, but it puts a regulated intermediary between Hyperliquid and the customer. The intermediary owns the relationship and sets the pricing; Hyperliquid becomes the plumbing. As we noted in the Edge section, the same has already happened offshore with wallets – it is good for volume and bad for pricing power. Note also that CME is suing the CFTC to have perps reclassified as swaps (</w:t>
      </w:r>
      <w:hyperlink w:history="1" r:id="rIduwmmx0ogznw39rbzpnbnd">
        <w:r>
          <w:rPr>
            <w:rStyle w:val="Hyperlink"/>
            <w:rFonts w:ascii="Arial" w:cs="Arial" w:eastAsia="Arial" w:hAnsi="Arial"/>
            <w:sz w:val="22"/>
            <w:szCs w:val="22"/>
          </w:rPr>
          <w:t xml:space="preserve">CoinDesk</w:t>
        </w:r>
      </w:hyperlink>
      <w:r>
        <w:rPr>
          <w:rFonts w:ascii="Arial" w:cs="Arial" w:eastAsia="Arial" w:hAnsi="Arial"/>
          <w:sz w:val="22"/>
          <w:szCs w:val="22"/>
        </w:rPr>
        <w:t xml:space="preserve">); if CME wins, the whole onshore-perps framework is set back.</w:t>
      </w:r>
    </w:p>
    <w:p>
      <w:pPr>
        <w:spacing w:after="160" w:line="276"/>
      </w:pPr>
      <w:r>
        <w:rPr>
          <w:rFonts w:ascii="Arial" w:cs="Arial" w:eastAsia="Arial" w:hAnsi="Arial"/>
          <w:b/>
          <w:bCs/>
          <w:sz w:val="22"/>
          <w:szCs w:val="22"/>
        </w:rPr>
        <w:t xml:space="preserve">4. Decentralisation is thinner than the marketing. </w:t>
      </w:r>
      <w:r>
        <w:rPr>
          <w:rFonts w:ascii="Arial" w:cs="Arial" w:eastAsia="Arial" w:hAnsi="Arial"/>
          <w:sz w:val="22"/>
          <w:szCs w:val="22"/>
        </w:rPr>
        <w:t xml:space="preserve">The chain runs on roughly 30 validators, and the Foundation controls a large majority of staked HYPE (</w:t>
      </w:r>
      <w:hyperlink w:history="1" r:id="rIdafbkllyjlbyxic2j3peka">
        <w:r>
          <w:rPr>
            <w:rStyle w:val="Hyperlink"/>
            <w:rFonts w:ascii="Arial" w:cs="Arial" w:eastAsia="Arial" w:hAnsi="Arial"/>
            <w:sz w:val="22"/>
            <w:szCs w:val="22"/>
          </w:rPr>
          <w:t xml:space="preserve">IndexBox</w:t>
        </w:r>
      </w:hyperlink>
      <w:r>
        <w:rPr>
          <w:rFonts w:ascii="Arial" w:cs="Arial" w:eastAsia="Arial" w:hAnsi="Arial"/>
          <w:sz w:val="22"/>
          <w:szCs w:val="22"/>
        </w:rPr>
        <w:t xml:space="preserve"> </w:t>
      </w:r>
      <w:r>
        <w:rPr>
          <w:rFonts w:ascii="Arial" w:cs="Arial" w:eastAsia="Arial" w:hAnsi="Arial"/>
          <w:sz w:val="22"/>
          <w:szCs w:val="22"/>
          <w:highlight w:val="yellow"/>
          <w:highlightCs w:val="yellow"/>
        </w:rPr>
        <w:t xml:space="preserve">[verify current figures on the validator page]</w:t>
      </w:r>
      <w:r>
        <w:rPr>
          <w:rFonts w:ascii="Arial" w:cs="Arial" w:eastAsia="Arial" w:hAnsi="Arial"/>
          <w:sz w:val="22"/>
          <w:szCs w:val="22"/>
        </w:rPr>
        <w:t xml:space="preserve">). In March 2025 the validators voted to delist the JELLY perp and force-settle positions at a price of their choosing after a manipulation attack threatened the HLP vault (</w:t>
      </w:r>
      <w:hyperlink w:history="1" r:id="rIdw1uxhbduup7nxevh6gh7k">
        <w:r>
          <w:rPr>
            <w:rStyle w:val="Hyperlink"/>
            <w:rFonts w:ascii="Arial" w:cs="Arial" w:eastAsia="Arial" w:hAnsi="Arial"/>
            <w:sz w:val="22"/>
            <w:szCs w:val="22"/>
          </w:rPr>
          <w:t xml:space="preserve">AMBCrypto</w:t>
        </w:r>
      </w:hyperlink>
      <w:r>
        <w:rPr>
          <w:rFonts w:ascii="Arial" w:cs="Arial" w:eastAsia="Arial" w:hAnsi="Arial"/>
          <w:sz w:val="22"/>
          <w:szCs w:val="22"/>
        </w:rPr>
        <w:t xml:space="preserve">). The team has since moved delisting votes on-chain, but the episode showed that a small group can and will intervene in markets when it needs to. That is a feature in a crisis and a liability in a regulatory review – a regulator can reasonably ask who is responsible for the venue, and the honest answer is "a handful of validators, most of which are the Foundation".</w:t>
      </w:r>
    </w:p>
    <w:p>
      <w:pPr>
        <w:spacing w:after="160" w:line="276"/>
      </w:pPr>
      <w:r>
        <w:rPr>
          <w:rFonts w:ascii="Arial" w:cs="Arial" w:eastAsia="Arial" w:hAnsi="Arial"/>
          <w:b/>
          <w:bCs/>
          <w:sz w:val="22"/>
          <w:szCs w:val="22"/>
        </w:rPr>
        <w:t xml:space="preserve">5. Supply – the team unlock is running. </w:t>
      </w:r>
      <w:r>
        <w:rPr>
          <w:rFonts w:ascii="Arial" w:cs="Arial" w:eastAsia="Arial" w:hAnsi="Arial"/>
          <w:sz w:val="22"/>
          <w:szCs w:val="22"/>
        </w:rPr>
        <w:t xml:space="preserve">The core-contributor allocation (~238Mn HYPE, 23.8% of supply) started vesting in January 2026 and unlocks monthly on the 6th through 2027, about 9.9Mn tokens a month at full rate (</w:t>
      </w:r>
      <w:hyperlink w:history="1" r:id="rIdyzjgh9eeje5kvsdbtwwus">
        <w:r>
          <w:rPr>
            <w:rStyle w:val="Hyperlink"/>
            <w:rFonts w:ascii="Arial" w:cs="Arial" w:eastAsia="Arial" w:hAnsi="Arial"/>
            <w:sz w:val="22"/>
            <w:szCs w:val="22"/>
          </w:rPr>
          <w:t xml:space="preserve">Tokenomist</w:t>
        </w:r>
      </w:hyperlink>
      <w:r>
        <w:rPr>
          <w:rFonts w:ascii="Arial" w:cs="Arial" w:eastAsia="Arial" w:hAnsi="Arial"/>
          <w:sz w:val="22"/>
          <w:szCs w:val="22"/>
        </w:rPr>
        <w:t xml:space="preserve">; </w:t>
      </w:r>
      <w:hyperlink w:history="1" r:id="rIdfkh_nkmvze2cgpyjjop_m">
        <w:r>
          <w:rPr>
            <w:rStyle w:val="Hyperlink"/>
            <w:rFonts w:ascii="Arial" w:cs="Arial" w:eastAsia="Arial" w:hAnsi="Arial"/>
            <w:sz w:val="22"/>
            <w:szCs w:val="22"/>
          </w:rPr>
          <w:t xml:space="preserve">DefiLlama</w:t>
        </w:r>
      </w:hyperlink>
      <w:r>
        <w:rPr>
          <w:rFonts w:ascii="Arial" w:cs="Arial" w:eastAsia="Arial" w:hAnsi="Arial"/>
          <w:sz w:val="22"/>
          <w:szCs w:val="22"/>
        </w:rPr>
        <w:t xml:space="preserve">). At ~$79 that is ~$780Mn a month of potential supply – roughly double what the Assistance Fund has been buying. So far actual claims have been a small fraction of the entitlement, which is why the price has held. But the buyback thesis in point 1 of the Edge section only works if the team keeps not selling; that is a behavioural assumption, not a protocol guarantee.</w:t>
      </w:r>
    </w:p>
    <w:p>
      <w:pPr>
        <w:spacing w:after="160" w:line="276"/>
      </w:pPr>
      <w:r>
        <w:rPr>
          <w:rFonts w:ascii="Arial" w:cs="Arial" w:eastAsia="Arial" w:hAnsi="Arial"/>
          <w:b/>
          <w:bCs/>
          <w:sz w:val="22"/>
          <w:szCs w:val="22"/>
        </w:rPr>
        <w:t xml:space="preserve">6. Competition within DeFi is real and fast. </w:t>
      </w:r>
      <w:r>
        <w:rPr>
          <w:rFonts w:ascii="Arial" w:cs="Arial" w:eastAsia="Arial" w:hAnsi="Arial"/>
          <w:sz w:val="22"/>
          <w:szCs w:val="22"/>
        </w:rPr>
        <w:t xml:space="preserve">In September 2025 Aster briefly took ~70% of perp-DEX volume and Hyperliquid's share fell to ~10% before recovering; by mid-2026 Hyperliquid was back to ~28% of volume with Aster ~16% and Lighter ~10% (</w:t>
      </w:r>
      <w:hyperlink w:history="1" r:id="rIdlnaalllvghpv-m3icyjj2">
        <w:r>
          <w:rPr>
            <w:rStyle w:val="Hyperlink"/>
            <w:rFonts w:ascii="Arial" w:cs="Arial" w:eastAsia="Arial" w:hAnsi="Arial"/>
            <w:sz w:val="22"/>
            <w:szCs w:val="22"/>
          </w:rPr>
          <w:t xml:space="preserve">21Shares</w:t>
        </w:r>
      </w:hyperlink>
      <w:r>
        <w:rPr>
          <w:rFonts w:ascii="Arial" w:cs="Arial" w:eastAsia="Arial" w:hAnsi="Arial"/>
          <w:sz w:val="22"/>
          <w:szCs w:val="22"/>
        </w:rPr>
        <w:t xml:space="preserve">; </w:t>
      </w:r>
      <w:hyperlink w:history="1" r:id="rId-b_yus_rphcfhcinl55lj">
        <w:r>
          <w:rPr>
            <w:rStyle w:val="Hyperlink"/>
            <w:rFonts w:ascii="Arial" w:cs="Arial" w:eastAsia="Arial" w:hAnsi="Arial"/>
            <w:sz w:val="22"/>
            <w:szCs w:val="22"/>
          </w:rPr>
          <w:t xml:space="preserve">DL News</w:t>
        </w:r>
      </w:hyperlink>
      <w:r>
        <w:rPr>
          <w:rFonts w:ascii="Arial" w:cs="Arial" w:eastAsia="Arial" w:hAnsi="Arial"/>
          <w:sz w:val="22"/>
          <w:szCs w:val="22"/>
        </w:rPr>
        <w:t xml:space="preserve">). The lesson from that episode is that perp liquidity is more mobile than it looks: incentive programmes and points can move share by tens of percentage points within a quarter. Hyperliquid's fee take is therefore exposed to a price war it has so far chosen not to fight.</w:t>
      </w:r>
    </w:p>
    <w:p>
      <w:pPr>
        <w:spacing w:after="160" w:line="276"/>
      </w:pPr>
      <w:r>
        <w:rPr>
          <w:rFonts w:ascii="Arial" w:cs="Arial" w:eastAsia="Arial" w:hAnsi="Arial"/>
          <w:b/>
          <w:bCs/>
          <w:sz w:val="22"/>
          <w:szCs w:val="22"/>
        </w:rPr>
        <w:t xml:space="preserve">7. Distribution is borrowed, not owned – and the numbers are softening. </w:t>
      </w:r>
      <w:r>
        <w:rPr>
          <w:rFonts w:ascii="Arial" w:cs="Arial" w:eastAsia="Arial" w:hAnsi="Arial"/>
          <w:sz w:val="22"/>
          <w:szCs w:val="22"/>
        </w:rPr>
        <w:t xml:space="preserve">The wallet channel we highlighted in the Edge section is a risk as well as a strength. Volume through the top-10 builder codes fell from ~$68Bn in the first 90 days of the series (Sep–Dec 2025) to ~$24Bn in the most recent 90 days (</w:t>
      </w:r>
      <w:hyperlink w:history="1" r:id="rId9gs2mozrx3hjq9dubzxsm">
        <w:r>
          <w:rPr>
            <w:rStyle w:val="Hyperlink"/>
            <w:rFonts w:ascii="Arial" w:cs="Arial" w:eastAsia="Arial" w:hAnsi="Arial"/>
            <w:sz w:val="22"/>
            <w:szCs w:val="22"/>
          </w:rPr>
          <w:t xml:space="preserve">ASXN Hyperscreener</w:t>
        </w:r>
      </w:hyperlink>
      <w:r>
        <w:rPr>
          <w:rFonts w:ascii="Arial" w:cs="Arial" w:eastAsia="Arial" w:hAnsi="Arial"/>
          <w:sz w:val="22"/>
          <w:szCs w:val="22"/>
        </w:rPr>
        <w:t xml:space="preserve">, our extract). Wallets like Phantom or MetaMask can route to whichever venue pays them the most, and the builder-code fee cap gives Hyperliquid limited room to pay more. If an onshore venue or a rival DEX offers wallets a better deal, the flow moves with them.</w:t>
      </w:r>
    </w:p>
    <w:p>
      <w:pPr>
        <w:spacing w:after="160" w:line="276"/>
      </w:pPr>
      <w:r>
        <w:rPr>
          <w:rFonts w:ascii="Arial" w:cs="Arial" w:eastAsia="Arial" w:hAnsi="Arial"/>
          <w:b/>
          <w:bCs/>
          <w:sz w:val="22"/>
          <w:szCs w:val="22"/>
        </w:rPr>
        <w:t xml:space="preserve">8. Operational and tail risks that come with a single team and a single chain. </w:t>
      </w:r>
      <w:r>
        <w:rPr>
          <w:rFonts w:ascii="Arial" w:cs="Arial" w:eastAsia="Arial" w:hAnsi="Arial"/>
          <w:sz w:val="22"/>
          <w:szCs w:val="22"/>
        </w:rPr>
        <w:t xml:space="preserve">The code is closed-source; the validator set, the HLP vault and the bridge to Arbitrum are each single points of failure; and the venue has already been through one manipulation crisis (JELLY) and one extreme liquidation day in October 2025 </w:t>
      </w:r>
      <w:r>
        <w:rPr>
          <w:rFonts w:ascii="Arial" w:cs="Arial" w:eastAsia="Arial" w:hAnsi="Arial"/>
          <w:sz w:val="22"/>
          <w:szCs w:val="22"/>
          <w:highlight w:val="yellow"/>
          <w:highlightCs w:val="yellow"/>
        </w:rPr>
        <w:t xml:space="preserve">[verify and add the ADL figure if quoting]</w:t>
      </w:r>
      <w:r>
        <w:rPr>
          <w:rFonts w:ascii="Arial" w:cs="Arial" w:eastAsia="Arial" w:hAnsi="Arial"/>
          <w:sz w:val="22"/>
          <w:szCs w:val="22"/>
        </w:rPr>
        <w:t xml:space="preserve">. Key-person risk is high – the design, the roadmap and most public communication come from one founder. A bug, a bridge exploit or a bad-faith ADL episode would be felt immediately in the token, because the token is the exchange's equity.</w:t>
      </w:r>
    </w:p>
    <w:p>
      <w:pPr>
        <w:spacing w:after="160" w:line="276"/>
      </w:pPr>
      <w:r>
        <w:rPr>
          <w:rFonts w:ascii="Arial" w:cs="Arial" w:eastAsia="Arial" w:hAnsi="Arial"/>
          <w:b/>
          <w:bCs/>
          <w:sz w:val="22"/>
          <w:szCs w:val="22"/>
        </w:rPr>
        <w:t xml:space="preserve">What would change our view – </w:t>
      </w:r>
      <w:r>
        <w:rPr>
          <w:rFonts w:ascii="Arial" w:cs="Arial" w:eastAsia="Arial" w:hAnsi="Arial"/>
          <w:sz w:val="22"/>
          <w:szCs w:val="22"/>
        </w:rPr>
        <w:t xml:space="preserve">the risks in 1–3 are the ones the market is currently focused on, and they resolve over the next 6–18 months: a CFTC rule or no-action letter with a defined economic link back to HYPE (positive), or a US product that bypasses HYPE economics entirely (negative). Points 4–8 are slower-burning but are the ones that determine whether the "royalty on volume" framing in the Edge section survives a real competitor.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friylqdg4bb34bikntqg" Type="http://schemas.openxmlformats.org/officeDocument/2006/relationships/hyperlink" Target="https://www.datawallet.com/crypto/is-hyperliquid-available-in-the-usa" TargetMode="External"/><Relationship Id="rIdvjyjbtkttcuqxmlpqyup9" Type="http://schemas.openxmlformats.org/officeDocument/2006/relationships/hyperlink" Target="https://www.theblock.co/news/regulation/2026-09-04-trump-wants-hyperliquid-enter-us-how-it-could-happen-413594" TargetMode="External"/><Relationship Id="rIdso3vjajpoqx6p2qknmqsl" Type="http://schemas.openxmlformats.org/officeDocument/2006/relationships/hyperlink" Target="https://www.coindesk.com/markets/2026/08/19/hype-jumps-11-as-trump-says-cftc-is-working-to-bring-hyperliquid-to-u-s" TargetMode="External"/><Relationship Id="rIdocdpjgaclmhno4srnbag4" Type="http://schemas.openxmlformats.org/officeDocument/2006/relationships/hyperlink" Target="https://www.bloomberg.com/news/articles/2026-08-19/trump-opens-door-to-hyperliquid-as-us-pulls-crypto-trade-onshore" TargetMode="External"/><Relationship Id="rId6rlcqy9ggehyv8nfutzxj" Type="http://schemas.openxmlformats.org/officeDocument/2006/relationships/hyperlink" Target="https://www.cnbc.com/2026/08/19/call-buying-bonanza-around-trumps-hyperliquid-comments-includes-eyebrow-raising-trades.html" TargetMode="External"/><Relationship Id="rIdierdh9nrjkol6cwuqpquj" Type="http://schemas.openxmlformats.org/officeDocument/2006/relationships/hyperlink" Target="https://www.fxstreet.com/cryptocurrencies/news/cftc-files-to-dismiss-cme-lawsuit-over-crypto-perpetual-futures-202609040449" TargetMode="External"/><Relationship Id="rIdxushjx5aew5ltlmfmz7cc" Type="http://schemas.openxmlformats.org/officeDocument/2006/relationships/hyperlink" Target="https://www.techtimes.com/articles/326705/20260904/coinbase-files-domestic-stock-perps-under-security-futures-cme-suit-clouds-launch.htm" TargetMode="External"/><Relationship Id="rIdtybjakdaolv1wgcvsvegb" Type="http://schemas.openxmlformats.org/officeDocument/2006/relationships/hyperlink" Target="https://www.theblock.co/news/regulation/2026-09-04-trump-wants-hyperliquid-enter-us-how-it-could-happen-413594" TargetMode="External"/><Relationship Id="rIduwmmx0ogznw39rbzpnbnd" Type="http://schemas.openxmlformats.org/officeDocument/2006/relationships/hyperlink" Target="https://www.coindesk.com/policy/2026/07/28/inside-the-cme-and-cftc-s-battle-over-onchain-perpetual-futures" TargetMode="External"/><Relationship Id="rIdafbkllyjlbyxic2j3peka" Type="http://schemas.openxmlformats.org/officeDocument/2006/relationships/hyperlink" Target="https://www.indexbox.io/blog/hyperliquid-hype-risks-decentralization-and-security-concerns/" TargetMode="External"/><Relationship Id="rIdw1uxhbduup7nxevh6gh7k" Type="http://schemas.openxmlformats.org/officeDocument/2006/relationships/hyperlink" Target="https://ambcrypto.com/hyperliquid-responds-to-jelly-delisting-and-criticism-what-will-happen-next/" TargetMode="External"/><Relationship Id="rIdyzjgh9eeje5kvsdbtwwus" Type="http://schemas.openxmlformats.org/officeDocument/2006/relationships/hyperlink" Target="https://tokenomist.ai/hyperliquid" TargetMode="External"/><Relationship Id="rIdfkh_nkmvze2cgpyjjop_m" Type="http://schemas.openxmlformats.org/officeDocument/2006/relationships/hyperlink" Target="https://defillama.com/unlocks/hyperliquid" TargetMode="External"/><Relationship Id="rIdlnaalllvghpv-m3icyjj2" Type="http://schemas.openxmlformats.org/officeDocument/2006/relationships/hyperlink" Target="https://www.21shares.com/en-eu/insights/the-perpetual-dex-wars-hyperliquid-aster-and-lighter-in-focus" TargetMode="External"/><Relationship Id="rId-b_yus_rphcfhcinl55lj" Type="http://schemas.openxmlformats.org/officeDocument/2006/relationships/hyperlink" Target="https://www.dlnews.com/articles/defi/aster-hyperliquid-drive-2-trillion-perp-dex-volume-surge/" TargetMode="External"/><Relationship Id="rId9gs2mozrx3hjq9dubzxsm" Type="http://schemas.openxmlformats.org/officeDocument/2006/relationships/hyperlink" Target="https://hyperscreener.asxn.xyz/builder-codes"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2026-09-17T04:57:54.422Z</dcterms:created>
  <dcterms:modified xsi:type="dcterms:W3CDTF">2026-09-17T04:57:54.423Z</dcterms:modified>
</cp:coreProperties>
</file>

<file path=docProps/custom.xml><?xml version="1.0" encoding="utf-8"?>
<Properties xmlns="http://schemas.openxmlformats.org/officeDocument/2006/custom-properties" xmlns:vt="http://schemas.openxmlformats.org/officeDocument/2006/docPropsVTypes"/>
</file>