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Translation of Chinese MOFCOM/MIIT Draft Export-Control Catalogue</w:t>
      </w:r>
    </w:p>
    <w:p>
      <w:pPr>
        <w:pStyle w:val="Title"/>
        <w:spacing w:after="80"/>
        <w:jc w:val="center"/>
      </w:pPr>
      <w:r>
        <w:rPr>
          <w:rFonts w:ascii="Calibri" w:cs="Calibri" w:eastAsia="Calibri" w:hAnsi="Calibri"/>
        </w:rPr>
        <w:t xml:space="preserve">Annex 1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Scope of Artificial Intelligence, Biomedicine and Photovoltaic Technologies Proposed for Inclusion in the Catalogue of Technologies Prohibited or Restricted from Export by China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(Draft for Public Comment)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E0B000"/>
          <w:sz w:val="24"/>
          <w:szCs w:val="24"/>
        </w:rPr>
        <w:t xml:space="preserve">HIGHLIGHTS — India &amp; India Solar PV</w:t>
      </w:r>
    </w:p>
    <w:tbl>
      <w:tblPr>
        <w:tblW w:type="dxa" w:w="9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46"/>
      </w:tblGrid>
      <w:tr>
        <w:tc>
          <w:tcPr>
            <w:tcW w:type="dxa" w:w="9946"/>
            <w:tcBorders>
              <w:top w:val="single" w:color="E0B000" w:sz="10"/>
              <w:left w:val="single" w:color="E0B000" w:sz="10"/>
              <w:bottom w:val="single" w:color="E0B000" w:sz="10"/>
              <w:right w:val="single" w:color="E0B000" w:sz="10"/>
            </w:tcBorders>
            <w:shd w:fill="FFF8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A5C00"/>
                <w:sz w:val="22"/>
                <w:szCs w:val="22"/>
              </w:rPr>
              <w:t xml:space="preserve">Reader's note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Highlights section was added by the translator and is not part of the original Chinese draft. It flags what is relevant to India, and specifically to India's solar-PV sector. In the translated catalogue below, any control point touching the PV/solar supply chain is shaded yellow for quick scanning.</w:t>
            </w:r>
          </w:p>
          <w:p>
            <w:pPr>
              <w:spacing w:after="90" w:before="140"/>
            </w:pPr>
            <w:r>
              <w:rPr>
                <w:rFonts w:ascii="Calibri" w:cs="Calibri" w:eastAsia="Calibri" w:hAnsi="Calibri"/>
                <w:b/>
                <w:bCs/>
                <w:color w:val="7A5C00"/>
                <w:sz w:val="22"/>
                <w:szCs w:val="22"/>
              </w:rPr>
              <w:t xml:space="preserve">What the document is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draft for public comment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proposing additions to China's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Catalogue of Technologies Prohibited or Restricted from Export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covering three domains: artificial intelligence, biomedicine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photovoltaics (solar)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Jointly issued by China's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Ministry of Commerce (MOFCOM) and the Ministry of Industry and Information Technology (MIIT)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 October 2026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(Joint Announcement No. 48 of 2026); public consultation runs 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 November 2026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An interim registration requirement for planned technology exports took effect 16 October 2026. (Issuing bodies/dates per public reporting — not stated in the draft text itself.)</w:t>
            </w:r>
          </w:p>
          <w:p>
            <w:pPr>
              <w:spacing w:after="90" w:before="140"/>
            </w:pPr>
            <w:r>
              <w:rPr>
                <w:rFonts w:ascii="Calibri" w:cs="Calibri" w:eastAsia="Calibri" w:hAnsi="Calibri"/>
                <w:b/>
                <w:bCs/>
                <w:color w:val="7A5C00"/>
                <w:sz w:val="22"/>
                <w:szCs w:val="22"/>
              </w:rPr>
              <w:t xml:space="preserve">Why it matters for India — solar PV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is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first time China has proposed export controls on solar-PV manufacturing technology and equipment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The draft does not name any country; the India read-through below is the translator's analytical framing, not a statement in the source.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controls span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entire modern crystalline-silicon chain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India is now trying to localise: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polysilicon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(FBR and silane fluidized-bed, reduction furnaces),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wafers/ingots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(large-format CZ pullers, ultra-thin slicing, tungsten-wire saws),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cells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(TOPCon, XBC, HJT and perovskite/tandem) — plus, via footnote 4,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tools themselves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(PECVD/LPCVD, ALD, boron-diffusion furnaces, copper-plating, slot-die coaters, CZ furnaces, slicing equipment).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thresholds map onto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mainstream, not just bleeding-edge, capacity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182–230 mm wafer edge, ≤140 µm wafer thickness, G12 throughput tiers, TOPCon "high-efficiency" at ≥25% cell / ≥22.3% module. These are exactly the specs of the lines Indian gigafactories are installing today.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India read-through: Indian module capacity is large but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cell, wafer, ingot and polysilicon capacity remain thin and heavily reliant on Chinese equipment and process know-how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ALMM-II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domestic-cell mandate (June 2026) and planned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ALMM-III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wafer mandate (June 2028) force a rapid build-out of precisely these controlled steps. If enacted, the controls could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raise costs, slow tool deliveries and constrain technology transfer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Indian cell/wafer/polysilicon expansion — most relevant to TOPCon (today's mainstream) and to the HJT and perovskite/tandem roadmap. (India capacity/mandate figures per public reporting; see Sources.)</w:t>
            </w:r>
          </w:p>
          <w:p>
            <w:pPr>
              <w:spacing w:after="90" w:before="140"/>
            </w:pPr>
            <w:r>
              <w:rPr>
                <w:rFonts w:ascii="Calibri" w:cs="Calibri" w:eastAsia="Calibri" w:hAnsi="Calibri"/>
                <w:b/>
                <w:bCs/>
                <w:color w:val="7A5C00"/>
                <w:sz w:val="22"/>
                <w:szCs w:val="22"/>
              </w:rPr>
              <w:t xml:space="preserve">The specific PV items to watch (all shaded yellow below)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Prohibited: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263003J polysilicon (FBR ≥250kt/yr; silane FB ≥20kt/yr); 263004J wafers ≤70 µm; 263801J edge-passivation + perovskite/tandem cell &amp; module tech.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Restricted: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263004X polysilicon (≥30kt/yr; reduction furnace ≥800 t/yr); 263005X ingot/wafer (CZ pullers, machining, ultra-thin large-format slicing); 263802X cells (TOPCon/XBC LPCVD-PECVD-ALD-boron-diffusion-Cu-plating, HJT).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Equipment (footnote 4):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controls explicitly extend to the core tools carrying these processes.</w:t>
            </w:r>
          </w:p>
          <w:p>
            <w:pPr>
              <w:spacing w:after="90" w:before="140"/>
            </w:pPr>
            <w:r>
              <w:rPr>
                <w:rFonts w:ascii="Calibri" w:cs="Calibri" w:eastAsia="Calibri" w:hAnsi="Calibri"/>
                <w:b/>
                <w:bCs/>
                <w:color w:val="7A5C00"/>
                <w:sz w:val="22"/>
                <w:szCs w:val="22"/>
              </w:rPr>
              <w:t xml:space="preserve">Beyond solar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AI section (large models, agentic AI, AI chips &lt;14 nm, compute clusters &gt;10,000 accelerators) and biomedicine section (cell &amp; gene therapy, siRNA platforms, novel-target discovery) are translated in full below for completeness. Two offensive-cyber items and one pathogen gain-of-function item are rendered as regulatory-level summaries rather than reproducing their operational capability thresholds.</w:t>
            </w:r>
          </w:p>
        </w:tc>
      </w:tr>
    </w:tbl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I.  Artificial Intelligence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Section I carries footnote 1.</w:t>
      </w:r>
      <w:r>
        <w:rPr>
          <w:rStyle w:val="FootnoteReference"/>
        </w:rPr>
        <w:footnoteReference w:id="1"/>
      </w:r>
    </w:p>
    <w:p>
      <w:pPr>
        <w:spacing w:after="90" w:before="1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Prohibited from export</w:t>
      </w:r>
    </w:p>
    <w:tbl>
      <w:tblPr>
        <w:tblW w:type="dxa" w:w="9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500"/>
        <w:gridCol w:w="980"/>
        <w:gridCol w:w="1760"/>
        <w:gridCol w:w="5246"/>
      </w:tblGrid>
      <w:tr>
        <w:trPr>
          <w:tblHeader/>
        </w:trP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Industry sector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name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points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Internet and related services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266401J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High-performance detection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Technology for manufacturing forgery-detection ("deepfake") systems and equipment used specifically or primarily to prevent and handle security risks in the cross-border transfer of China's network data, where the detection accuracy and recall rate for deep-synthesis video, audio, image or multimodal information is ≥95%.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266402J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Information adversarial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[Summarized] This entry covers AI-driven offensive cyber technologies that could be used against critical information infrastructure, defense/military-industrial and core government systems, or to bypass national security defenses — namely (1) autonomous AI generation and mutation of malicious code; (2) adversarial-environment self-adaptation and runtime dynamic behavior modification; and (3) automated, large-scale generation and distributed deployment of evasion variants. The source lists specific quantitative capability thresholds for each; these operational details are summarized here rather than reproduced.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Software and IT services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266501J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AI large-model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Large models that provide services after being trained on China's core data.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Note: the scope of "core data" is defined by the Data Security Law of the People's Republic of China and related laws and regulations.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266502J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AI agent (agentic)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High-performance agents used specifically or primarily in highly sensitive application scenarios such as critical information infrastructure, defense/military-industrial and core government affairs.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Note: "high-performance" means reaching the control thresholds of restricted-category AI agent technology 266505X.</w:t>
            </w:r>
          </w:p>
        </w:tc>
      </w:tr>
    </w:tbl>
    <w:p>
      <w:pPr>
        <w:spacing w:after="90" w:before="1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Restricted from export</w:t>
      </w:r>
      <w:r>
        <w:rPr>
          <w:rStyle w:val="FootnoteReference"/>
        </w:rPr>
        <w:footnoteReference w:id="2"/>
      </w:r>
    </w:p>
    <w:tbl>
      <w:tblPr>
        <w:tblW w:type="dxa" w:w="9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500"/>
        <w:gridCol w:w="980"/>
        <w:gridCol w:w="1760"/>
        <w:gridCol w:w="5246"/>
      </w:tblGrid>
      <w:tr>
        <w:trPr>
          <w:tblHeader/>
        </w:trP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Industry sector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name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points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Internet and related services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266402X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High-performance detection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(Added to the 7 existing items in this category)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8. Technology for manufacturing systems and equipment that detect deep-synthesis video, audio, image or multimodal information, with accuracy and recall rate ≥98%.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9. Video/image steganography embedding and extraction technology satisfying all of the following: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(1) High robustness: error-code rate ≤0.5%, or recall rate ≥99.9%;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(2) Low false-alarm rate: false-positive rate (FPR) ≤0.1%;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(3) High imperceptibility: structural similarity index (SSIM) ≥0.999, or peak signal-to-noise ratio (PSNR) ≥41 dB, or learned perceptual image patch similarity (LPIPS) ≤0.005.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266404X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Information adversarial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(Added to the 5 existing items in this category)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[Summarized] This added item covers AI-assisted vulnerability-discovery technology. The source defines it by quantitative capability thresholds relating to benchmark vulnerability-reproduction/exploitability scoring, autonomous end-to-end exploit-chain construction against mainstream operating systems or browsers, efficiency gains over expert baselines, autonomous chaining of multiple software defects, and autonomous discovery of previously undisclosed high-severity defects. These operational thresholds are summarized here rather than reproduced.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Software and IT services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266501X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Information processing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(Added to the 18 existing items in this category)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19. Voiceprint (speaker) recognition technology with any of the following characteristics, including core voiceprint algorithms, anti-attack and anti-spoofing technology, voiceprint recognition system technology, and voiceprint data processing and protection technology: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(1) Under conditions of FPR ≤0.01%, enrolment speech ≤30 s, test speech ≤10 s and SNR ≥20 dB, a true-positive rate (TPR) ≥99.1%;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(2) End-to-end voiceprint processing latency ≤300 ms and throughput ≥100 requests/second;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(3) Overall detection rate ≥98% (or false-acceptance rate ≤1%) against common spoofing attacks such as replay, speech synthesis and voice conversion;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(4) Dedicated optimization for ethnic-minority languages or specific regional dialects, with recognition accuracy ≥90% under standard test conditions.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20. Translation technology used specifically or primarily for Chinese and ethnic-minority languages with any of the following: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(1) A mean opinion score (MOS) ≥4.8 from human evaluation on a standard test set;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(2) With translation semantic fidelity ≥95%, a BLEU similarity-to-reference score ≥35 for general-domain translation, or ≥30 for specialized-domain translation.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266504X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AI large-model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1. Large models that provide services after being trained on China's important data.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2. Core technologies of large models with any of the following characteristics — including weight parameters, key checkpoints, underlying source code, architecture design, and training-optimization and inference-acceleration technologies: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(1) Compute ≥10^26 floating-point operations;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(2) Parameter count ≥2 trillion (20,000 亿);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(3) Capability reaching a globally leading level.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Note: (i) Models trained using only a trace amount (≤0.1%) of important data — where that data cannot materially improve the model's core R&amp;D capability in the data's domain, de-identification/cleansing safeguards are applied, the important data is not reproduced at the output stage, or the important data is lawfully publicly available — are not within the scope of item 1. (ii) The scope of "important data" is defined by the Data Security Law and related laws. (iii) "Capability reaching a globally leading level" means ranking in the global top 10 at the time of the export activity across public evaluations by mainstream domestic/international assessment bodies and large-scale industry platforms — on overall performance, specialized capability, global call volume, security performance, training efficiency, etc.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266505X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AI agent (agentic)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1. Autonomous planning and task-decomposition technology that can automatically decompose a natural-language instruction into an executable sub-task chain of ≥20 steps, with sub-task decomposition precision ≥80% and average sub-task success rate ≥90%.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2. Multi-agent collaboration architecture technology supporting ≥60 concurrently cooperating agents, where — for equivalent results — the overall task completion time is ≤2× the single-agent minimum, and the final multi-agent conclusion matches the reference answer ≥85% of the time.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3. Tool-calling and system-operation technology supporting integration of ≥200 third-party tools, with tool-selection accuracy ≥90% and, in scenarios requiring the coordinated use of ≥3 tools, an end-to-end average task success rate ≥90%.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4. AI game-theoretic decision technology having all of the following: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(1) Single-task decision-planning depth ≥20 steps, or ≥10 concurrent game-playing agents;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(2) Strategy self-adaptation, with complex dynamic game decision latency ≤200 ms and ≥10 control units;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(3) Surpassing 90% of humans on standard game-playing benchmarks.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266506X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AI chip design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1. AI processing-chip design technology with any of the following — including chip architecture, proprietary instruction sets, intelligent-computing IP cores and supporting base software stacks: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(1) Requires a manufacturing process of 14 nm or below;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(2) Floating-point or integer computing capability;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(3) Uses 2.5D or 3D advanced packaging/integration;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(4) High-speed interconnect capability;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(5) New architectures based on non-von-Neumann designs such as compute-in-memory or neuromorphic computing;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(6) Applicable to specific scenarios such as autonomous driving, computer vision and intelligent speech.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2. Memory-chip design technology: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(1) 3D flash design technology with any of: 1) storage density ≥8 Gb/mm²; 2) I/O rate ≥1.5 Gbps; 3) use of bonding technology.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(2) DRAM design technology with any of: 1) requires an 18 nm-or-below memory process; 2) vertical-channel transistor architecture; 3) bonding technology; 4) multi-layer stacking.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266507X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AI computing-cluster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1. Inter-chip or inter-node high-speed interconnect technology for large-scale intelligent computing clusters, with bidirectional bandwidth ≥800 GB/s.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2. Distributed-training fault-tolerance technology (for stable distributed training in large clusters) with any of: (1) checkpoint-recovery mean time to recovery (MTTR) ≤120 s; (2) automatic fault detection and seamless task migration, with visible interruption to the training task ≤30 s; (3) effective-compute (GPU) waste rate from network faults ≤5% at typical cluster scale.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3. Efficient communication-scheduling technology (to optimize cluster communication efficiency) with any of: (1) linear scalability ≥98%; (2) dynamic topology-aware routing and cross-plane load balancing with end-to-end communication latency ≤1 µs; (3) deep overlap of communication and compute, with communication-hiding rate ≥90%.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4. Heterogeneous-cluster efficient inference and scheduling technology supporting unified scheduling and collaborative inference across AI chips from ≥2 vendors — including unified heterogeneous-compute scheduling frameworks, mixed-precision collaborative training, heterogeneous inference optimization and heterogeneous-cluster intelligent operations — with any of: (1) unified adaptation/mixed scheduling of ≥2 high-speed communication protocols, with cross-chip bandwidth utilization ≥90% or cross-node edge communication latency ≤5 µs; (2) unified management across ≥2 different architectures, with heterogeneous-inference-cluster throughput ≥30% above a single-chip solution, or average AI-accelerator utilization +65%, or inference cost −20% vs a single-chip solution, or cluster MTTR ≤10 min with availability ≥99.9%; (3) unified compute scheduling and task allocation across ≥2 geographically distributed intelligent-computing centers, with cross-region training efficiency ≥80% of a single cluster, or real-time load balancing and task migration across regions.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Note: "large-scale intelligent computing cluster" means a computing entity with a total of more than 10,000 AI accelerator cards.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II.  Biomedicine</w:t>
      </w:r>
    </w:p>
    <w:p>
      <w:pPr>
        <w:spacing w:after="90" w:before="1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Prohibited from export</w:t>
      </w:r>
    </w:p>
    <w:tbl>
      <w:tblPr>
        <w:tblW w:type="dxa" w:w="9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500"/>
        <w:gridCol w:w="980"/>
        <w:gridCol w:w="1760"/>
        <w:gridCol w:w="5246"/>
      </w:tblGrid>
      <w:tr>
        <w:trPr>
          <w:tblHeader/>
        </w:trP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Industry sector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name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points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Pharmaceutical manufacturing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262704J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Cell and gene therapy original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A cell-and-gene-therapy process/technology platform with independent (proprietary) intellectual property.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Note: (i) Only the transfer of ownership abroad is prohibited; out-licensing and the provision of outsourced R&amp;D/production services using the technology (which do not transfer ownership) are not within scope. (ii) For specific drug products at various R&amp;D/production stages, the technologies/processes necessary for R&amp;D, trials, production, quality control, marketing and compliance in the course of external cooperation or business transactions (BD) are not within scope. (iii) A "process/technology platform" means a reusable set of underlying common technologies accumulated through long-term R&amp;D that can support development of multiple drugs; development technology for a single drug product is not within scope.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262705J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Small-nucleic-acid drug original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A small-interfering-RNA (siRNA) drug process/technology platform with proprietary intellectual property.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Note: same three carve-outs as 262704J (ownership-transfer only; BD-stage necessary technologies excluded; platform vs single-drug distinction).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Research and experimental development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267302J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Pathogenic microorganism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[Summarized] This entry covers artificial genetic-modification and directed serial-passage gain-of-function technologies for pathogenic microorganisms. The source specifies several sub-categories (function-enhancement of known/potential pathogens; passage systems for large-scale propagation, directed accelerated evolution and stable maintenance of virulence traits; and controlled passage induction simulating natural evolution). The operational specifics are summarized here rather than reproduced.</w:t>
            </w:r>
          </w:p>
        </w:tc>
      </w:tr>
    </w:tbl>
    <w:p>
      <w:pPr>
        <w:spacing w:after="90" w:before="1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Restricted from export</w:t>
      </w:r>
      <w:r>
        <w:rPr>
          <w:rStyle w:val="FootnoteReference"/>
        </w:rPr>
        <w:footnoteReference w:id="3"/>
      </w:r>
    </w:p>
    <w:tbl>
      <w:tblPr>
        <w:tblW w:type="dxa" w:w="9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500"/>
        <w:gridCol w:w="980"/>
        <w:gridCol w:w="1760"/>
        <w:gridCol w:w="5246"/>
      </w:tblGrid>
      <w:tr>
        <w:trPr>
          <w:tblHeader/>
        </w:trP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Industry sector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name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points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Pharmaceutical manufacturing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262705X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Cell and gene therapy original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Proprietary technology for the discovery and validation of entirely new targets for cell and gene therapy.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Note: (i) "Entirely new target" means a drug target not previously publicly disclosed anywhere in the world via patents, academic literature, public databases, industry technical materials or academic conferences. (ii) "New-target discovery and validation technology" means technology used to screen, discover and confirm entirely new targets and lock onto druggable points of action.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262706X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Small-nucleic-acid drug original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</w:rPr>
              <w:t xml:space="preserve">Proprietary technology for the discovery and validation of entirely new targets for small-interfering-RNA (siRNA) drugs.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Note: same definitions of "entirely new target" and "new-target discovery and validation technology" as 262705X.</w:t>
            </w:r>
          </w:p>
        </w:tc>
      </w:tr>
    </w:tbl>
    <w:p>
      <w:pPr>
        <w:pStyle w:val="Heading1"/>
        <w:shd w:fill="FFF8CC" w:color="auto" w:val="clear"/>
        <w:spacing w:after="60" w:before="280"/>
      </w:pPr>
      <w:r>
        <w:rPr>
          <w:rFonts w:ascii="Calibri" w:cs="Calibri" w:eastAsia="Calibri" w:hAnsi="Calibri"/>
        </w:rPr>
        <w:t xml:space="preserve">III.  Photovoltaics (Solar)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A5C00"/>
          <w:sz w:val="16"/>
          <w:szCs w:val="16"/>
        </w:rPr>
        <w:t xml:space="preserve">Entire section relevant to India's solar-PV sector — shaded yellow.</w:t>
      </w:r>
      <w:r>
        <w:rPr>
          <w:rStyle w:val="FootnoteReference"/>
        </w:rPr>
        <w:footnoteReference w:id="4"/>
      </w:r>
    </w:p>
    <w:p>
      <w:pPr>
        <w:spacing w:after="90" w:before="1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Prohibited from export</w:t>
      </w:r>
    </w:p>
    <w:tbl>
      <w:tblPr>
        <w:tblW w:type="dxa" w:w="9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500"/>
        <w:gridCol w:w="980"/>
        <w:gridCol w:w="1760"/>
        <w:gridCol w:w="5246"/>
      </w:tblGrid>
      <w:tr>
        <w:trPr>
          <w:tblHeader/>
        </w:trP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Industry sector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name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points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Non-metallic mineral products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263003J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Polysilicon preparation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1. Cold-hydrogenation fluidized-bed (FBR) process with single-line trichlorosilane capacity ≥250,000 t/year, and its equipment-manufacturing technology.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2. Silane fluidized-bed process with single-line capacity ≥20,000 t/year, and its equipment-manufacturing technology.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263004J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Wafer preparation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Preparation technology for wafers of thickness ≤70 µm, and its equipment-manufacturing technology.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  <w:highlight w:val="yellow"/>
                <w:highlightCs w:val="yellow"/>
              </w:rPr>
              <w:t xml:space="preserve">Note: "wafer preparation technology" includes program code, underlying algorithm models, equipment drawings, etc.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Electrical machinery and equipment manufacturing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263801J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PV cell preparation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1. PV-dedicated edge-passivation technology for crystalline-silicon cell preparation, and its equipment-manufacturing technology, meeting all of the following: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(1) Usable for full, half or multi-cut solar wafers, with each edge length (measured on the full wafer) between 182 and 230 mm;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(2) Wafer thickness ≤140 µm.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2. Perovskite and tandem cell/module production technology, and its equipment-manufacturing technology, including: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(1) Perovskite–silicon tandem cell technology, with mass-production wafer size ≥182 mm and efficiency ≥30%;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(2) Perovskite-dedicated slot-die coating technology, with processing width ≥1.1 m;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(3) Large-area single-junction perovskite module technology, with module area ≥1 m² and efficiency ≥18%;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(4) Large-area tandem perovskite module technology, with module area ≥1 m² and efficiency ≥28%.</w:t>
            </w:r>
          </w:p>
        </w:tc>
      </w:tr>
    </w:tbl>
    <w:p>
      <w:pPr>
        <w:spacing w:after="90" w:before="1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Restricted from export</w:t>
      </w:r>
    </w:p>
    <w:tbl>
      <w:tblPr>
        <w:tblW w:type="dxa" w:w="9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500"/>
        <w:gridCol w:w="980"/>
        <w:gridCol w:w="1760"/>
        <w:gridCol w:w="5246"/>
      </w:tblGrid>
      <w:tr>
        <w:trPr>
          <w:tblHeader/>
        </w:trP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Industry sector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name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points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Non-metallic mineral products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263004X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Polysilicon preparation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1. Polysilicon engineering technology with single-line capacity ≥30,000 t/year.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2. Reduction process with single-reactor polysilicon capacity ≥800 t/year, and its equipment-manufacturing technology.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  <w:highlight w:val="yellow"/>
                <w:highlightCs w:val="yellow"/>
              </w:rPr>
              <w:t xml:space="preserve">Note: "engineering technology" includes equipment engineering design, plant-construction engineering design, process packages, etc.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Non-metallic mineral products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263005X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Wafer preparation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1. PV monocrystalline-silicon ingot (CZ) pulling technology, and its equipment-manufacturing technology, including: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(1) Single-crystal-furnace design with furnace-chamber inner diameter ≥1,600 mm;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(2) Single-crystal-furnace hot-zone design of size ≥35 inches;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(3) Single-crystal-furnace design with pulling speed ≥1.2 mm/min;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(4) Single-crystal-furnace design with equal-diameter energy-consumption power ≤40 kW.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2. PV monocrystalline-silicon ingot machining technology, and its equipment-manufacturing technology, including: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(1) Half-rod cropping/grinding/squaring preparation-and-machining technology;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(2) Machining technology usable to make ingots of length ≥720 mm.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3. Ultra-thin, large-format PV wafer preparation technology, and its equipment-manufacturing technology, including: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(1) Preparation technology usable to make rectangular wafers with any edge length ≥182 mm;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(2) Technology to prepare wafers of thickness 130 µm or below:</w:t>
            </w:r>
          </w:p>
          <w:p>
            <w:pPr>
              <w:spacing w:after="50"/>
              <w:ind w:left="34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1) Tungsten-wire slicing technology of 28 µm or below;</w:t>
            </w:r>
          </w:p>
          <w:p>
            <w:pPr>
              <w:spacing w:after="50"/>
              <w:ind w:left="34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2) Slicing-equipment design with spindle speed ≥6,500 rpm, or main-roller diameter ≤120 mm, or main-roller lateral wheelbase ≤370 mm.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Electrical machinery and equipment manufacturing</w:t>
            </w:r>
          </w:p>
        </w:tc>
        <w:tc>
          <w:tcPr>
            <w:tcW w:type="dxa" w:w="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263802X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PV cell preparation technology</w:t>
            </w:r>
          </w:p>
        </w:tc>
        <w:tc>
          <w:tcPr>
            <w:tcW w:type="dxa" w:w="52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1. High-efficiency tunnel-oxide passivated-contact (TOPCon) and back-contact (XBC) crystalline-silicon cell preparation technology, and its equipment-manufacturing technology, including: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(1) PV-dedicated LPCVD and PECVD coating technology for the ultra-thin tunnel oxide and doped-polysilicon selective passivating-contact layer, meeting all of: 1) usable for full/half/multi-cut wafers, each edge 182–230 mm; 2) wafer thickness ≤140 µm; 3) on a G12 full-wafer basis, LPCVD throughput ≥6,000 wafers/h and PECVD throughput ≥6,000 wafers/h.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(2) PV-dedicated ALD coating technology for the aluminium-oxide surface passivation layer, meeting all of: 1) each edge 182–230 mm; 2) thickness ≤140 µm; 3) G12 throughput ≥12,000 wafers/h.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(3) PV-dedicated high-temperature boron-diffusion technology, meeting all of: 1) each edge 182–230 mm; 2) thickness ≤140 µm; 3) G12 throughput ≥4,500 wafers/h.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(4) Copper-electroplated-electrode preparation technology for TOPCon cells, meeting all of: 1) usable for full/half/multi-cut wafers, each edge 182–230 mm; 2) thickness ≤140 µm.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(5) Low-temperature amorphous/microcrystalline-silicon deposition and PV-dedicated PECVD coating technology, meeting all of: 1) usable for full/half/multi-cut wafers, each edge 182–230 mm; 2) thickness ≤140 µm.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(6) Electroplating and chemical-plating coating technology for XBC cells, meeting all of: 1) usable for full/half/multi-cut wafers, each edge 182–230 mm; 2) thickness ≤140 µm.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2. Heterojunction (HJT) crystalline-silicon cell preparation technology, and its equipment-manufacturing technology, including: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(1) Transparent-conductive-film deposition technology for HJT, usable on wafers ≤110 µm, with any of: 1) indium content of the TCO ≤50%; 2) on a G12 basis, throughput ≥14,000 half-wafers/h.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(2) Silicon-thin-film deposition technology for HJT, usable on wafers ≤110 µm, with any of: 1) for high-efficiency N-type HJT cells, film crystallization rate ≥40%, or (G12 basis) throughput ≥14,000 half-wafers/h; 2) for P-type HJT cells, maximum conversion efficiency ≥23% under AM1.5, or ≥20.5% under AM0.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(3) Low-silver silver-coated-copper HJT solar-cell preparation technology, with silver content ≤30%.</w:t>
            </w:r>
          </w:p>
          <w:p>
            <w:pPr>
              <w:spacing w:after="50"/>
              <w:ind w:left="170"/>
            </w:pPr>
            <w:r>
              <w:rPr>
                <w:rFonts w:ascii="Calibri" w:cs="Calibri" w:eastAsia="Calibri" w:hAnsi="Calibri"/>
                <w:i w:val="false"/>
                <w:iCs w:val="false"/>
                <w:sz w:val="17"/>
                <w:szCs w:val="17"/>
                <w:highlight w:val="yellow"/>
                <w:highlightCs w:val="yellow"/>
              </w:rPr>
              <w:t xml:space="preserve">(4) Copper-electroplated-electrode HJT cell preparation technology.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  <w:highlight w:val="yellow"/>
                <w:highlightCs w:val="yellow"/>
              </w:rPr>
              <w:t xml:space="preserve">Note: "high-efficiency" in this category means average cell conversion efficiency ≥25% under AM1.5, or average mass-production module conversion efficiency ≥22.3%.</w:t>
            </w:r>
          </w:p>
        </w:tc>
      </w:tr>
    </w:tbl>
    <w:p>
      <w:pPr>
        <w:spacing w:after="90" w:befor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Sources (for Highlights section)</w:t>
      </w:r>
    </w:p>
    <w:p>
      <w:pPr>
        <w:spacing w:after="120" w:before="0"/>
      </w:pPr>
      <w:r>
        <w:rPr>
          <w:rFonts w:ascii="Calibri" w:cs="Calibri" w:eastAsia="Calibri" w:hAnsi="Calibri"/>
          <w:sz w:val="18"/>
          <w:szCs w:val="18"/>
        </w:rPr>
        <w:t xml:space="preserve">South China Morning Post / pv magazine — China's MOFCOM/MIIT draft export-control proposal on AI, biotech and solar, 16 Oct 2026; consultation to 15 Nov 2026.</w:t>
      </w:r>
    </w:p>
    <w:p>
      <w:pPr>
        <w:spacing w:after="120" w:before="0"/>
      </w:pPr>
      <w:r>
        <w:rPr>
          <w:rFonts w:ascii="Calibri" w:cs="Calibri" w:eastAsia="Calibri" w:hAnsi="Calibri"/>
          <w:sz w:val="18"/>
          <w:szCs w:val="18"/>
        </w:rPr>
        <w:t xml:space="preserve">pv magazine — "India on track for record 50 GW of solar in 2026 as ALMM-II drives H1 surge" (cell ~88 GW baseline, 14 GW under construction, wafer imports +86% YoY); ALMM-II June 2026, ALMM-III June 2028.</w:t>
      </w:r>
    </w:p>
    <w:p>
      <w:pPr>
        <w:spacing w:after="120" w:before="0"/>
      </w:pPr>
      <w:r>
        <w:rPr>
          <w:rFonts w:ascii="Calibri" w:cs="Calibri" w:eastAsia="Calibri" w:hAnsi="Calibri"/>
          <w:sz w:val="18"/>
          <w:szCs w:val="18"/>
        </w:rPr>
        <w:t xml:space="preserve">Mercom India; Wood Mackenzie — India solar supply-chain and equipment-dependence commentary.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6"/>
          <w:szCs w:val="16"/>
        </w:rPr>
        <w:t xml:space="preserve">Technology that has already entered the public domain through open-sourcing, publication of academic papers, etc., is not within the scope of management.</w:t>
      </w:r>
    </w:p>
  </w:footnote>
  <w:footnote w:id="2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6"/>
          <w:szCs w:val="16"/>
        </w:rPr>
        <w:t xml:space="preserve">For export of technologies in this category in situations such as open-sourcing, Chinese enterprises building/operating their own computing centers abroad, going abroad to conduct chip tape-out/fabrication, conducting joint R&amp;D using overseas resources, or participating in international standard-setting, facilitation measures such as automatic licensing apply.</w:t>
      </w:r>
    </w:p>
  </w:footnote>
  <w:footnote w:id="3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6"/>
          <w:szCs w:val="16"/>
        </w:rPr>
        <w:t xml:space="preserve">For technology export in situations such as public-health emergencies, humanitarian relief, joint R&amp;D using overseas resources, and external licensing, facilitation measures such as automatic licensing apply.</w:t>
      </w:r>
    </w:p>
  </w:footnote>
  <w:footnote w:id="4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6"/>
          <w:szCs w:val="16"/>
        </w:rPr>
        <w:t xml:space="preserve">The scope of technology management also includes the key and core equipment that carries the relevant technology, specifically: trichlorosilane cold-hydrogenation fluidized beds, silane fluidized beds, reduction furnaces, PV wafer slicing equipment, single-crystal (CZ) furnaces used for PV crystal pulling, machining equipment for PV wafer preparation such as cropping/squaring, edge-passivation (EPD) equipment for half-cut or multi-cut processes, tunnel-oxide doped-polysilicon selective-passivating-contact-layer deposition equipment (both PECVD and LPCVD), atomic-layer-deposition (ALD) equipment, high-temperature boron-diffusion furnaces, copper-electroplating equipment for TOPCon cells, silicon-thin-film deposition (PECVD) equipment for HBC and HTBC cells, copper-electroplating equipment for XBC cells, transparent-conductive-film deposition (PVD) equipment, amorphous/microcrystalline-silicon thin-film deposition (PECVD) equipment, HJT-cell copper-electroplating equipment, and slot-die coating equipment.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Export-Control Catalogue Draft — Translation</dc:title>
  <dc:creator>Translation</dc:creator>
  <cp:lastModifiedBy>Un-named</cp:lastModifiedBy>
  <cp:revision>1</cp:revision>
  <dcterms:created xsi:type="dcterms:W3CDTF">2026-10-19T02:25:49.972Z</dcterms:created>
  <dcterms:modified xsi:type="dcterms:W3CDTF">2026-10-19T02:25:49.977Z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