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600"/>
              <w:bottom w:type="dxa" w:w="600"/>
              <w:right w:type="dxa" w:w="600"/>
            </w:tcMar>
          </w:tcPr>
          <w:p>
            <w:pPr>
              <w:spacing w:after="120" w:before="0"/>
            </w:pPr>
            <w:r>
              <w:rPr>
                <w:rFonts w:ascii="Arial" w:cs="Arial" w:eastAsia="Arial" w:hAnsi="Arial"/>
                <w:b/>
                <w:bCs/>
                <w:i w:val="false"/>
                <w:iCs w:val="false"/>
                <w:color w:val="7AAAD8"/>
                <w:sz w:val="20"/>
                <w:szCs w:val="20"/>
              </w:rPr>
              <w:t xml:space="preserve">Stage 2 of 5</w:t>
            </w:r>
          </w:p>
          <w:p>
            <w:pPr>
              <w:spacing w:after="60" w:before="0"/>
            </w:pPr>
            <w:r>
              <w:rPr>
                <w:rFonts w:ascii="Arial" w:cs="Arial" w:eastAsia="Arial" w:hAnsi="Arial"/>
                <w:b/>
                <w:bCs/>
                <w:i w:val="false"/>
                <w:iCs w:val="false"/>
                <w:color w:val="FFFFFF"/>
                <w:sz w:val="46"/>
                <w:szCs w:val="46"/>
              </w:rPr>
              <w:t xml:space="preserve">Zero-Parameter SLIC</w:t>
            </w:r>
          </w:p>
          <w:p>
            <w:pPr>
              <w:spacing w:after="60" w:before="0"/>
            </w:pPr>
            <w:r>
              <w:rPr>
                <w:rFonts w:ascii="Arial" w:cs="Arial" w:eastAsia="Arial" w:hAnsi="Arial"/>
                <w:b/>
                <w:bCs/>
                <w:i w:val="false"/>
                <w:iCs w:val="false"/>
                <w:color w:val="FFFFFF"/>
                <w:sz w:val="46"/>
                <w:szCs w:val="46"/>
              </w:rPr>
              <w:t xml:space="preserve">Supervoxel Generation</w:t>
            </w:r>
          </w:p>
          <w:p>
            <w:pPr>
              <w:spacing w:after="300" w:before="60"/>
            </w:pPr>
            <w:r>
              <w:rPr>
                <w:rFonts w:ascii="Arial" w:cs="Arial" w:eastAsia="Arial" w:hAnsi="Arial"/>
                <w:b w:val="false"/>
                <w:bCs w:val="false"/>
                <w:i w:val="false"/>
                <w:iCs w:val="false"/>
                <w:color w:val="AACCEE"/>
                <w:sz w:val="22"/>
                <w:szCs w:val="22"/>
              </w:rPr>
              <w:t xml:space="preserve">Comprehensive Technical Documentation</w:t>
            </w:r>
          </w:p>
          <w:p>
            <w:pPr>
              <w:spacing w:after="60" w:before="0"/>
            </w:pPr>
            <w:r>
              <w:rPr>
                <w:rFonts w:ascii="Courier New" w:cs="Courier New" w:eastAsia="Courier New" w:hAnsi="Courier New"/>
                <w:b w:val="false"/>
                <w:bCs w:val="false"/>
                <w:i w:val="false"/>
                <w:iCs w:val="false"/>
                <w:color w:val="AAD4FF"/>
                <w:sz w:val="19"/>
                <w:szCs w:val="19"/>
              </w:rPr>
              <w:t xml:space="preserve">supervoxel_generator.py</w:t>
            </w:r>
          </w:p>
          <w:p>
            <w:pPr>
              <w:spacing w:after="0" w:before="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3A5A8A" w:sz="4"/>
                    <w:left w:val="single" w:color="3A5A8A" w:sz="4"/>
                    <w:bottom w:val="single" w:color="3A5A8A" w:sz="4"/>
                    <w:right w:val="single" w:color="3A5A8A" w:sz="4"/>
                  </w:tcBorders>
                  <w:shd w:fill="243D6A" w:val="clear"/>
                  <w:tcMar>
                    <w:top w:type="dxa" w:w="120"/>
                    <w:left w:type="dxa" w:w="120"/>
                    <w:bottom w:type="dxa" w:w="120"/>
                    <w:right w:type="dxa" w:w="120"/>
                  </w:tcMar>
                </w:tcPr>
                <w:p>
                  <w:pPr>
                    <w:spacing w:after="40" w:before="0"/>
                    <w:jc w:val="center"/>
                  </w:pPr>
                  <w:r>
                    <w:rPr>
                      <w:rFonts w:ascii="Arial" w:cs="Arial" w:eastAsia="Arial" w:hAnsi="Arial"/>
                      <w:b w:val="false"/>
                      <w:bCs w:val="false"/>
                      <w:i w:val="false"/>
                      <w:iCs w:val="false"/>
                      <w:color w:val="7AAAD8"/>
                      <w:sz w:val="15"/>
                      <w:szCs w:val="15"/>
                    </w:rPr>
                    <w:t xml:space="preserve">Institution</w:t>
                  </w:r>
                </w:p>
                <w:p>
                  <w:pPr>
                    <w:spacing w:after="0" w:before="0"/>
                    <w:jc w:val="center"/>
                  </w:pPr>
                  <w:r>
                    <w:rPr>
                      <w:rFonts w:ascii="Arial" w:cs="Arial" w:eastAsia="Arial" w:hAnsi="Arial"/>
                      <w:b/>
                      <w:bCs/>
                      <w:i w:val="false"/>
                      <w:iCs w:val="false"/>
                      <w:color w:val="FFFFFF"/>
                      <w:sz w:val="18"/>
                      <w:szCs w:val="18"/>
                    </w:rPr>
                    <w:t xml:space="preserve">CMC Vellore</w:t>
                  </w:r>
                </w:p>
              </w:tc>
              <w:tc>
                <w:tcPr>
                  <w:tcW w:type="dxa" w:w="1800"/>
                  <w:tcBorders>
                    <w:top w:val="single" w:color="3A5A8A" w:sz="4"/>
                    <w:left w:val="single" w:color="3A5A8A" w:sz="4"/>
                    <w:bottom w:val="single" w:color="3A5A8A" w:sz="4"/>
                    <w:right w:val="single" w:color="3A5A8A" w:sz="4"/>
                  </w:tcBorders>
                  <w:shd w:fill="243D6A" w:val="clear"/>
                  <w:tcMar>
                    <w:top w:type="dxa" w:w="120"/>
                    <w:left w:type="dxa" w:w="120"/>
                    <w:bottom w:type="dxa" w:w="120"/>
                    <w:right w:type="dxa" w:w="120"/>
                  </w:tcMar>
                </w:tcPr>
                <w:p>
                  <w:pPr>
                    <w:spacing w:after="40" w:before="0"/>
                    <w:jc w:val="center"/>
                  </w:pPr>
                  <w:r>
                    <w:rPr>
                      <w:rFonts w:ascii="Arial" w:cs="Arial" w:eastAsia="Arial" w:hAnsi="Arial"/>
                      <w:b w:val="false"/>
                      <w:bCs w:val="false"/>
                      <w:i w:val="false"/>
                      <w:iCs w:val="false"/>
                      <w:color w:val="7AAAD8"/>
                      <w:sz w:val="15"/>
                      <w:szCs w:val="15"/>
                    </w:rPr>
                    <w:t xml:space="preserve">Laboratory</w:t>
                  </w:r>
                </w:p>
                <w:p>
                  <w:pPr>
                    <w:spacing w:after="0" w:before="0"/>
                    <w:jc w:val="center"/>
                  </w:pPr>
                  <w:r>
                    <w:rPr>
                      <w:rFonts w:ascii="Arial" w:cs="Arial" w:eastAsia="Arial" w:hAnsi="Arial"/>
                      <w:b/>
                      <w:bCs/>
                      <w:i w:val="false"/>
                      <w:iCs w:val="false"/>
                      <w:color w:val="FFFFFF"/>
                      <w:sz w:val="18"/>
                      <w:szCs w:val="18"/>
                    </w:rPr>
                    <w:t xml:space="preserve">QIRAIL</w:t>
                  </w:r>
                </w:p>
              </w:tc>
              <w:tc>
                <w:tcPr>
                  <w:tcW w:type="dxa" w:w="1800"/>
                  <w:tcBorders>
                    <w:top w:val="single" w:color="3A5A8A" w:sz="4"/>
                    <w:left w:val="single" w:color="3A5A8A" w:sz="4"/>
                    <w:bottom w:val="single" w:color="3A5A8A" w:sz="4"/>
                    <w:right w:val="single" w:color="3A5A8A" w:sz="4"/>
                  </w:tcBorders>
                  <w:shd w:fill="243D6A" w:val="clear"/>
                  <w:tcMar>
                    <w:top w:type="dxa" w:w="120"/>
                    <w:left w:type="dxa" w:w="120"/>
                    <w:bottom w:type="dxa" w:w="120"/>
                    <w:right w:type="dxa" w:w="120"/>
                  </w:tcMar>
                </w:tcPr>
                <w:p>
                  <w:pPr>
                    <w:spacing w:after="40" w:before="0"/>
                    <w:jc w:val="center"/>
                  </w:pPr>
                  <w:r>
                    <w:rPr>
                      <w:rFonts w:ascii="Arial" w:cs="Arial" w:eastAsia="Arial" w:hAnsi="Arial"/>
                      <w:b w:val="false"/>
                      <w:bCs w:val="false"/>
                      <w:i w:val="false"/>
                      <w:iCs w:val="false"/>
                      <w:color w:val="7AAAD8"/>
                      <w:sz w:val="15"/>
                      <w:szCs w:val="15"/>
                    </w:rPr>
                    <w:t xml:space="preserve">Dataset</w:t>
                  </w:r>
                </w:p>
                <w:p>
                  <w:pPr>
                    <w:spacing w:after="0" w:before="0"/>
                    <w:jc w:val="center"/>
                  </w:pPr>
                  <w:r>
                    <w:rPr>
                      <w:rFonts w:ascii="Arial" w:cs="Arial" w:eastAsia="Arial" w:hAnsi="Arial"/>
                      <w:b/>
                      <w:bCs/>
                      <w:i w:val="false"/>
                      <w:iCs w:val="false"/>
                      <w:color w:val="FFFFFF"/>
                      <w:sz w:val="18"/>
                      <w:szCs w:val="18"/>
                    </w:rPr>
                    <w:t xml:space="preserve">120 HNSCC</w:t>
                  </w:r>
                </w:p>
              </w:tc>
              <w:tc>
                <w:tcPr>
                  <w:tcW w:type="dxa" w:w="1800"/>
                  <w:tcBorders>
                    <w:top w:val="single" w:color="3A5A8A" w:sz="4"/>
                    <w:left w:val="single" w:color="3A5A8A" w:sz="4"/>
                    <w:bottom w:val="single" w:color="3A5A8A" w:sz="4"/>
                    <w:right w:val="single" w:color="3A5A8A" w:sz="4"/>
                  </w:tcBorders>
                  <w:shd w:fill="243D6A" w:val="clear"/>
                  <w:tcMar>
                    <w:top w:type="dxa" w:w="120"/>
                    <w:left w:type="dxa" w:w="120"/>
                    <w:bottom w:type="dxa" w:w="120"/>
                    <w:right w:type="dxa" w:w="120"/>
                  </w:tcMar>
                </w:tcPr>
                <w:p>
                  <w:pPr>
                    <w:spacing w:after="40" w:before="0"/>
                    <w:jc w:val="center"/>
                  </w:pPr>
                  <w:r>
                    <w:rPr>
                      <w:rFonts w:ascii="Arial" w:cs="Arial" w:eastAsia="Arial" w:hAnsi="Arial"/>
                      <w:b w:val="false"/>
                      <w:bCs w:val="false"/>
                      <w:i w:val="false"/>
                      <w:iCs w:val="false"/>
                      <w:color w:val="7AAAD8"/>
                      <w:sz w:val="15"/>
                      <w:szCs w:val="15"/>
                    </w:rPr>
                    <w:t xml:space="preserve">Reference</w:t>
                  </w:r>
                </w:p>
                <w:p>
                  <w:pPr>
                    <w:spacing w:after="0" w:before="0"/>
                    <w:jc w:val="center"/>
                  </w:pPr>
                  <w:r>
                    <w:rPr>
                      <w:rFonts w:ascii="Arial" w:cs="Arial" w:eastAsia="Arial" w:hAnsi="Arial"/>
                      <w:b/>
                      <w:bCs/>
                      <w:i w:val="false"/>
                      <w:iCs w:val="false"/>
                      <w:color w:val="FFFFFF"/>
                      <w:sz w:val="18"/>
                      <w:szCs w:val="18"/>
                    </w:rPr>
                    <w:t xml:space="preserve">Bae et al., 2025</w:t>
                  </w:r>
                </w:p>
              </w:tc>
            </w:tr>
          </w:tbl>
          <w:p/>
        </w:tc>
      </w:tr>
    </w:tbl>
    <w:p>
      <w:pPr>
        <w:spacing w:after="0" w:before="0"/>
      </w:pPr>
    </w:p>
    <w:p>
      <w:pPr>
        <w:spacing w:after="0" w:before="0"/>
      </w:pPr>
    </w:p>
    <w:p>
      <w:r>
        <w:br w:type="page"/>
      </w:r>
    </w:p>
    <w:p>
      <w:pPr>
        <w:spacing w:after="120" w:before="0"/>
      </w:pPr>
      <w:r>
        <w:rPr>
          <w:rFonts w:ascii="Arial" w:cs="Arial" w:eastAsia="Arial" w:hAnsi="Arial"/>
          <w:b/>
          <w:bCs/>
          <w:i w:val="false"/>
          <w:iCs w:val="false"/>
          <w:color w:val="1B3A6B"/>
          <w:sz w:val="28"/>
          <w:szCs w:val="28"/>
        </w:rPr>
        <w:t xml:space="preserve">Table of Contents</w:t>
      </w:r>
    </w:p>
    <w:p>
      <w:pPr>
        <w:pBdr>
          <w:bottom w:val="single" w:color="1E5FA0" w:sz="8"/>
        </w:pBdr>
        <w:spacing w:after="8" w:before="0"/>
      </w:pPr>
    </w:p>
    <w:p>
      <w:pPr>
        <w:spacing w:after="0" w:before="0"/>
      </w:pP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1</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Overview</w:t>
            </w: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1.1  What this stage does</w:t>
      </w:r>
    </w:p>
    <w:p>
      <w:pPr>
        <w:spacing w:after="120" w:before="80"/>
      </w:pPr>
      <w:r>
        <w:rPr>
          <w:rFonts w:ascii="Arial" w:cs="Arial" w:eastAsia="Arial" w:hAnsi="Arial"/>
          <w:b w:val="false"/>
          <w:bCs w:val="false"/>
          <w:i w:val="false"/>
          <w:iCs w:val="false"/>
          <w:color w:val="222222"/>
          <w:sz w:val="20"/>
          <w:szCs w:val="20"/>
        </w:rPr>
        <w:t xml:space="preserve">Supervoxel generation partitions the 3D </w:t>
      </w:r>
      <w:r>
        <w:rPr>
          <w:rFonts w:ascii="Arial" w:cs="Arial" w:eastAsia="Arial" w:hAnsi="Arial"/>
          <w:b/>
          <w:bCs/>
          <w:i w:val="false"/>
          <w:iCs w:val="false"/>
          <w:color w:val="0D6B6B"/>
          <w:sz w:val="20"/>
          <w:szCs w:val="20"/>
        </w:rPr>
        <w:t xml:space="preserve">peritumoral region</w:t>
      </w:r>
      <w:r>
        <w:rPr>
          <w:rFonts w:ascii="Arial" w:cs="Arial" w:eastAsia="Arial" w:hAnsi="Arial"/>
          <w:b w:val="false"/>
          <w:bCs w:val="false"/>
          <w:i w:val="false"/>
          <w:iCs w:val="false"/>
          <w:color w:val="222222"/>
          <w:sz w:val="20"/>
          <w:szCs w:val="20"/>
        </w:rPr>
        <w:t xml:space="preserve"> surrounding the gross tumour volume (GTV) into a set of compact, spatially contiguous sub-volumes called </w:t>
      </w:r>
      <w:r>
        <w:rPr>
          <w:rFonts w:ascii="Arial" w:cs="Arial" w:eastAsia="Arial" w:hAnsi="Arial"/>
          <w:b/>
          <w:bCs/>
          <w:i w:val="false"/>
          <w:iCs w:val="false"/>
          <w:color w:val="0D6B6B"/>
          <w:sz w:val="20"/>
          <w:szCs w:val="20"/>
        </w:rPr>
        <w:t xml:space="preserve">supervoxels</w:t>
      </w:r>
      <w:r>
        <w:rPr>
          <w:rFonts w:ascii="Arial" w:cs="Arial" w:eastAsia="Arial" w:hAnsi="Arial"/>
          <w:b w:val="false"/>
          <w:bCs w:val="false"/>
          <w:i w:val="false"/>
          <w:iCs w:val="false"/>
          <w:color w:val="222222"/>
          <w:sz w:val="20"/>
          <w:szCs w:val="20"/>
        </w:rPr>
        <w:t xml:space="preserve">. Each supervoxel becomes a node in the patient-level graph later fed into the Graph Attention Network (GAT). The algorithm used is </w:t>
      </w:r>
      <w:r>
        <w:rPr>
          <w:rFonts w:ascii="Arial" w:cs="Arial" w:eastAsia="Arial" w:hAnsi="Arial"/>
          <w:b/>
          <w:bCs/>
          <w:i w:val="false"/>
          <w:iCs w:val="false"/>
          <w:color w:val="222222"/>
          <w:sz w:val="20"/>
          <w:szCs w:val="20"/>
        </w:rPr>
        <w:t xml:space="preserve">Simple Linear Iterative Clustering (SLIC)</w:t>
      </w:r>
      <w:r>
        <w:rPr>
          <w:rFonts w:ascii="Arial" w:cs="Arial" w:eastAsia="Arial" w:hAnsi="Arial"/>
          <w:b w:val="false"/>
          <w:bCs w:val="false"/>
          <w:i w:val="false"/>
          <w:iCs w:val="false"/>
          <w:color w:val="222222"/>
          <w:sz w:val="20"/>
          <w:szCs w:val="20"/>
        </w:rPr>
        <w:t xml:space="preserve">, running in zero-parameter mode (</w:t>
      </w:r>
      <w:r>
        <w:rPr>
          <w:rFonts w:ascii="Courier New" w:cs="Courier New" w:eastAsia="Courier New" w:hAnsi="Courier New"/>
          <w:b w:val="false"/>
          <w:bCs w:val="false"/>
          <w:i w:val="false"/>
          <w:iCs w:val="false"/>
          <w:color w:val="B84800"/>
          <w:sz w:val="18"/>
          <w:szCs w:val="18"/>
        </w:rPr>
        <w:t xml:space="preserve">slic_zero=True</w:t>
      </w:r>
      <w:r>
        <w:rPr>
          <w:rFonts w:ascii="Arial" w:cs="Arial" w:eastAsia="Arial" w:hAnsi="Arial"/>
          <w:b w:val="false"/>
          <w:bCs w:val="false"/>
          <w:i w:val="false"/>
          <w:iCs w:val="false"/>
          <w:color w:val="222222"/>
          <w:sz w:val="20"/>
          <w:szCs w:val="20"/>
        </w:rPr>
        <w:t xml:space="preserve">) — a setting central enough to appear in the paper title.</w:t>
      </w:r>
    </w:p>
    <w:p>
      <w:pPr>
        <w:spacing w:after="0" w:before="0"/>
      </w:pPr>
    </w:p>
    <w:p>
      <w:pPr>
        <w:pStyle w:val="Heading2"/>
        <w:spacing w:after="60" w:before="300"/>
      </w:pPr>
      <w:r>
        <w:rPr>
          <w:rFonts w:ascii="Arial" w:cs="Arial" w:eastAsia="Arial" w:hAnsi="Arial"/>
          <w:b/>
          <w:bCs/>
          <w:i w:val="false"/>
          <w:iCs w:val="false"/>
          <w:color w:val="0D6B6B"/>
          <w:sz w:val="23"/>
          <w:szCs w:val="23"/>
        </w:rPr>
        <w:t xml:space="preserve">1.2  Position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360"/>
        <w:gridCol w:w="1640"/>
        <w:gridCol w:w="360"/>
        <w:gridCol w:w="1640"/>
        <w:gridCol w:w="360"/>
        <w:gridCol w:w="1640"/>
        <w:gridCol w:w="360"/>
        <w:gridCol w:w="1712"/>
      </w:tblGrid>
      <w:tr>
        <w:tc>
          <w:tcPr>
            <w:tcW w:type="dxa" w:w="1640"/>
            <w:tcBorders>
              <w:top w:val="single" w:color="C8C8C8" w:sz="4"/>
              <w:left w:val="single" w:color="C8C8C8" w:sz="4"/>
              <w:bottom w:val="single" w:color="C8C8C8" w:sz="4"/>
              <w:right w:val="single" w:color="C8C8C8" w:sz="4"/>
            </w:tcBorders>
            <w:shd w:fill="F7F7F7"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555555"/>
                <w:sz w:val="16"/>
                <w:szCs w:val="16"/>
              </w:rPr>
              <w:t xml:space="preserve">Stage 1
Preprocessing</w:t>
            </w:r>
          </w:p>
        </w:tc>
        <w:tc>
          <w:tcPr>
            <w:tcW w:type="dxa" w:w="360"/>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spacing w:after="0" w:before="0"/>
              <w:jc w:val="center"/>
            </w:pPr>
            <w:r>
              <w:rPr>
                <w:rFonts w:ascii="Arial" w:cs="Arial" w:eastAsia="Arial" w:hAnsi="Arial"/>
                <w:b w:val="false"/>
                <w:bCs w:val="false"/>
                <w:i w:val="false"/>
                <w:iCs w:val="false"/>
                <w:color w:val="888888"/>
                <w:sz w:val="16"/>
                <w:szCs w:val="16"/>
              </w:rPr>
              <w:t xml:space="preserve">→</w:t>
            </w:r>
          </w:p>
        </w:tc>
        <w:tc>
          <w:tcPr>
            <w:tcW w:type="dxa" w:w="1640"/>
            <w:tcBorders>
              <w:top w:val="single" w:color="1E5FA0" w:sz="4"/>
              <w:left w:val="single" w:color="1E5FA0" w:sz="4"/>
              <w:bottom w:val="single" w:color="1E5FA0" w:sz="4"/>
              <w:right w:val="single" w:color="1E5FA0" w:sz="4"/>
            </w:tcBorders>
            <w:shd w:fill="1E5FA0"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16"/>
                <w:szCs w:val="16"/>
              </w:rPr>
              <w:t xml:space="preserve">Stage 2
Supervoxels</w:t>
            </w:r>
          </w:p>
        </w:tc>
        <w:tc>
          <w:tcPr>
            <w:tcW w:type="dxa" w:w="360"/>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spacing w:after="0" w:before="0"/>
              <w:jc w:val="center"/>
            </w:pPr>
            <w:r>
              <w:rPr>
                <w:rFonts w:ascii="Arial" w:cs="Arial" w:eastAsia="Arial" w:hAnsi="Arial"/>
                <w:b w:val="false"/>
                <w:bCs w:val="false"/>
                <w:i w:val="false"/>
                <w:iCs w:val="false"/>
                <w:color w:val="888888"/>
                <w:sz w:val="16"/>
                <w:szCs w:val="16"/>
              </w:rPr>
              <w:t xml:space="preserve">→</w:t>
            </w:r>
          </w:p>
        </w:tc>
        <w:tc>
          <w:tcPr>
            <w:tcW w:type="dxa" w:w="1640"/>
            <w:tcBorders>
              <w:top w:val="single" w:color="C8C8C8" w:sz="4"/>
              <w:left w:val="single" w:color="C8C8C8" w:sz="4"/>
              <w:bottom w:val="single" w:color="C8C8C8" w:sz="4"/>
              <w:right w:val="single" w:color="C8C8C8" w:sz="4"/>
            </w:tcBorders>
            <w:shd w:fill="F7F7F7"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555555"/>
                <w:sz w:val="16"/>
                <w:szCs w:val="16"/>
              </w:rPr>
              <w:t xml:space="preserve">Stage 3
Feature extraction</w:t>
            </w:r>
          </w:p>
        </w:tc>
        <w:tc>
          <w:tcPr>
            <w:tcW w:type="dxa" w:w="360"/>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spacing w:after="0" w:before="0"/>
              <w:jc w:val="center"/>
            </w:pPr>
            <w:r>
              <w:rPr>
                <w:rFonts w:ascii="Arial" w:cs="Arial" w:eastAsia="Arial" w:hAnsi="Arial"/>
                <w:b w:val="false"/>
                <w:bCs w:val="false"/>
                <w:i w:val="false"/>
                <w:iCs w:val="false"/>
                <w:color w:val="888888"/>
                <w:sz w:val="16"/>
                <w:szCs w:val="16"/>
              </w:rPr>
              <w:t xml:space="preserve">→</w:t>
            </w:r>
          </w:p>
        </w:tc>
        <w:tc>
          <w:tcPr>
            <w:tcW w:type="dxa" w:w="1640"/>
            <w:tcBorders>
              <w:top w:val="single" w:color="C8C8C8" w:sz="4"/>
              <w:left w:val="single" w:color="C8C8C8" w:sz="4"/>
              <w:bottom w:val="single" w:color="C8C8C8" w:sz="4"/>
              <w:right w:val="single" w:color="C8C8C8" w:sz="4"/>
            </w:tcBorders>
            <w:shd w:fill="F7F7F7"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555555"/>
                <w:sz w:val="16"/>
                <w:szCs w:val="16"/>
              </w:rPr>
              <w:t xml:space="preserve">Stage 4
Graph construction</w:t>
            </w:r>
          </w:p>
        </w:tc>
        <w:tc>
          <w:tcPr>
            <w:tcW w:type="dxa" w:w="360"/>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spacing w:after="0" w:before="0"/>
              <w:jc w:val="center"/>
            </w:pPr>
            <w:r>
              <w:rPr>
                <w:rFonts w:ascii="Arial" w:cs="Arial" w:eastAsia="Arial" w:hAnsi="Arial"/>
                <w:b w:val="false"/>
                <w:bCs w:val="false"/>
                <w:i w:val="false"/>
                <w:iCs w:val="false"/>
                <w:color w:val="888888"/>
                <w:sz w:val="16"/>
                <w:szCs w:val="16"/>
              </w:rPr>
              <w:t xml:space="preserve">→</w:t>
            </w:r>
          </w:p>
        </w:tc>
        <w:tc>
          <w:tcPr>
            <w:tcW w:type="dxa" w:w="1712"/>
            <w:tcBorders>
              <w:top w:val="single" w:color="C8C8C8" w:sz="4"/>
              <w:left w:val="single" w:color="C8C8C8" w:sz="4"/>
              <w:bottom w:val="single" w:color="C8C8C8" w:sz="4"/>
              <w:right w:val="single" w:color="C8C8C8" w:sz="4"/>
            </w:tcBorders>
            <w:shd w:fill="F7F7F7"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555555"/>
                <w:sz w:val="16"/>
                <w:szCs w:val="16"/>
              </w:rPr>
              <w:t xml:space="preserve">Stage 5
GAT training</w:t>
            </w: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1.3  Key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4"/>
              <w:left w:val="single" w:color="1E5FA0" w:sz="20"/>
              <w:bottom w:val="single" w:color="C8C8C8" w:sz="4"/>
              <w:right w:val="single" w:color="C8C8C8" w:sz="4"/>
            </w:tcBorders>
            <w:shd w:fill="D6E8F7" w:val="clear"/>
            <w:tcMar>
              <w:top w:type="dxa" w:w="120"/>
              <w:left w:type="dxa" w:w="280"/>
              <w:bottom w:type="dxa" w:w="120"/>
              <w:right w:type="dxa" w:w="200"/>
            </w:tcMar>
          </w:tcPr>
          <w:p>
            <w:pPr>
              <w:spacing w:after="60" w:before="0"/>
            </w:pPr>
            <w:r>
              <w:rPr>
                <w:rFonts w:ascii="Arial" w:cs="Arial" w:eastAsia="Arial" w:hAnsi="Arial"/>
                <w:b/>
                <w:bCs/>
                <w:i w:val="false"/>
                <w:iCs w:val="false"/>
                <w:color w:val="1E5FA0"/>
                <w:sz w:val="19"/>
                <w:szCs w:val="19"/>
              </w:rPr>
              <w:t xml:space="preserve">Note</w:t>
            </w:r>
          </w:p>
          <w:p>
            <w:pPr>
              <w:spacing w:after="0" w:before="0"/>
            </w:pPr>
            <w:r>
              <w:rPr>
                <w:rFonts w:ascii="Arial" w:cs="Arial" w:eastAsia="Arial" w:hAnsi="Arial"/>
                <w:b w:val="false"/>
                <w:bCs w:val="false"/>
                <w:i w:val="false"/>
                <w:iCs w:val="false"/>
                <w:color w:val="222222"/>
                <w:sz w:val="19"/>
                <w:szCs w:val="19"/>
              </w:rPr>
              <w:t xml:space="preserve">The GTV is not segmented into supervoxels. It is excluded before SLIC runs and treated as a separate hub node in the graph. Supervoxels cover only the surrounding peritumoral tissue.</w:t>
            </w:r>
          </w:p>
        </w:tc>
      </w:tr>
    </w:tbl>
    <w:p>
      <w:pPr>
        <w:spacing w:after="0" w:before="0"/>
      </w:pPr>
    </w:p>
    <w:p>
      <w:pPr>
        <w:pBdr>
          <w:bottom w:val="single" w:color="C8C8C8" w:sz="6"/>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2</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Background — Why Supervoxels?</w:t>
            </w: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2.1  The problem with whole-tumour radiomics</w:t>
      </w:r>
    </w:p>
    <w:p>
      <w:pPr>
        <w:spacing w:after="120" w:before="80"/>
      </w:pPr>
      <w:r>
        <w:rPr>
          <w:rFonts w:ascii="Arial" w:cs="Arial" w:eastAsia="Arial" w:hAnsi="Arial"/>
          <w:b w:val="false"/>
          <w:bCs w:val="false"/>
          <w:i w:val="false"/>
          <w:iCs w:val="false"/>
          <w:color w:val="222222"/>
          <w:sz w:val="20"/>
          <w:szCs w:val="20"/>
        </w:rPr>
        <w:t xml:space="preserve">Traditional radiomics extracts one feature vector per patient from the entire GTV. This collapses all spatial information — a region at the invasive tumour margin cannot be distinguished from the tumour core, and the peritumoral tissue is ignored entirely. The RadGraph paper argues that the peritumoral microenvironment carries independent prognostic information about locoregional recurrence.</w:t>
      </w:r>
    </w:p>
    <w:p>
      <w:pPr>
        <w:spacing w:after="120" w:before="80"/>
      </w:pPr>
      <w:r>
        <w:rPr>
          <w:rFonts w:ascii="Arial" w:cs="Arial" w:eastAsia="Arial" w:hAnsi="Arial"/>
          <w:b w:val="false"/>
          <w:bCs w:val="false"/>
          <w:i w:val="false"/>
          <w:iCs w:val="false"/>
          <w:color w:val="222222"/>
          <w:sz w:val="20"/>
          <w:szCs w:val="20"/>
        </w:rPr>
        <w:t xml:space="preserve">Supervoxels solve this by dividing the peritumoral tissue into approximately 100 small, locally homogeneous sub-volumes. Each gets its own radiomic feature vector. The spatial relationships between these supervoxels and the GTV are then modelled as a graph.</w:t>
      </w:r>
    </w:p>
    <w:p>
      <w:pPr>
        <w:spacing w:after="0" w:before="0"/>
      </w:pPr>
    </w:p>
    <w:p>
      <w:pPr>
        <w:pStyle w:val="Heading2"/>
        <w:spacing w:after="60" w:before="300"/>
      </w:pPr>
      <w:r>
        <w:rPr>
          <w:rFonts w:ascii="Arial" w:cs="Arial" w:eastAsia="Arial" w:hAnsi="Arial"/>
          <w:b/>
          <w:bCs/>
          <w:i w:val="false"/>
          <w:iCs w:val="false"/>
          <w:color w:val="0D6B6B"/>
          <w:sz w:val="23"/>
          <w:szCs w:val="23"/>
        </w:rPr>
        <w:t xml:space="preserve">2.2  Approach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Approach</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Spatial detail</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Nodes in graph</w:t>
            </w:r>
          </w:p>
        </w:tc>
        <w:tc>
          <w:tcPr>
            <w:tcW w:type="dxa" w:w="33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Role in pipeline</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Whole-GTV radiomics</w:t>
            </w:r>
          </w:p>
        </w:tc>
        <w:tc>
          <w:tcPr>
            <w:tcW w:type="dxa" w:w="18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8B1A1A"/>
                <w:sz w:val="18"/>
                <w:szCs w:val="18"/>
              </w:rPr>
              <w:t xml:space="preserve">None</w:t>
            </w:r>
          </w:p>
        </w:tc>
        <w:tc>
          <w:tcPr>
            <w:tcW w:type="dxa" w:w="18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i w:val="false"/>
                <w:iCs w:val="false"/>
                <w:color w:val="222222"/>
                <w:sz w:val="18"/>
                <w:szCs w:val="18"/>
              </w:rPr>
              <w:t xml:space="preserve">1</w:t>
            </w:r>
          </w:p>
        </w:tc>
        <w:tc>
          <w:tcPr>
            <w:tcW w:type="dxa" w:w="33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Baseline RF model</w:t>
            </w:r>
          </w:p>
        </w:tc>
      </w:tr>
      <w:tr>
        <w:tc>
          <w:tcPr>
            <w:tcW w:type="dxa" w:w="24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Individual voxels</w:t>
            </w:r>
          </w:p>
        </w:tc>
        <w:tc>
          <w:tcPr>
            <w:tcW w:type="dxa" w:w="18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A6B2F"/>
                <w:sz w:val="18"/>
                <w:szCs w:val="18"/>
              </w:rPr>
              <w:t xml:space="preserve">Maximum</w:t>
            </w:r>
          </w:p>
        </w:tc>
        <w:tc>
          <w:tcPr>
            <w:tcW w:type="dxa" w:w="18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center"/>
            </w:pPr>
            <w:r>
              <w:rPr>
                <w:rFonts w:ascii="Arial" w:cs="Arial" w:eastAsia="Arial" w:hAnsi="Arial"/>
                <w:b w:val="false"/>
                <w:bCs w:val="false"/>
                <w:i w:val="false"/>
                <w:iCs w:val="false"/>
                <w:color w:val="222222"/>
                <w:sz w:val="18"/>
                <w:szCs w:val="18"/>
              </w:rPr>
              <w:t xml:space="preserve">~10⁷</w:t>
            </w:r>
          </w:p>
        </w:tc>
        <w:tc>
          <w:tcPr>
            <w:tcW w:type="dxa" w:w="33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Computationally infeasible</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bCs/>
                <w:i w:val="false"/>
                <w:iCs w:val="false"/>
                <w:color w:val="222222"/>
                <w:sz w:val="18"/>
                <w:szCs w:val="18"/>
              </w:rPr>
              <w:t xml:space="preserve">SLIC supervoxels</w:t>
            </w:r>
          </w:p>
        </w:tc>
        <w:tc>
          <w:tcPr>
            <w:tcW w:type="dxa" w:w="18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bCs/>
                <w:i w:val="false"/>
                <w:iCs w:val="false"/>
                <w:color w:val="0D6B6B"/>
                <w:sz w:val="18"/>
                <w:szCs w:val="18"/>
              </w:rPr>
              <w:t xml:space="preserve">High</w:t>
            </w:r>
          </w:p>
        </w:tc>
        <w:tc>
          <w:tcPr>
            <w:tcW w:type="dxa" w:w="18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0D6B6B"/>
                <w:sz w:val="18"/>
                <w:szCs w:val="18"/>
              </w:rPr>
              <w:t xml:space="preserve">~100</w:t>
            </w:r>
          </w:p>
        </w:tc>
        <w:tc>
          <w:tcPr>
            <w:tcW w:type="dxa" w:w="33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bCs/>
                <w:i w:val="false"/>
                <w:iCs w:val="false"/>
                <w:color w:val="222222"/>
                <w:sz w:val="18"/>
                <w:szCs w:val="18"/>
              </w:rPr>
              <w:t xml:space="preserve">RadGraph — this pipeline</w:t>
            </w:r>
          </w:p>
        </w:tc>
      </w:tr>
    </w:tbl>
    <w:p>
      <w:pPr>
        <w:spacing w:after="0" w:before="0"/>
      </w:pPr>
    </w:p>
    <w:p>
      <w:pPr>
        <w:pBdr>
          <w:bottom w:val="single" w:color="C8C8C8" w:sz="6"/>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3</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Inputs</w:t>
            </w:r>
          </w:p>
        </w:tc>
      </w:tr>
    </w:tbl>
    <w:p>
      <w:pPr>
        <w:spacing w:after="0" w:before="0"/>
      </w:pPr>
    </w:p>
    <w:p>
      <w:pPr>
        <w:spacing w:after="120" w:before="80"/>
      </w:pPr>
      <w:r>
        <w:rPr>
          <w:rFonts w:ascii="Arial" w:cs="Arial" w:eastAsia="Arial" w:hAnsi="Arial"/>
          <w:b w:val="false"/>
          <w:bCs w:val="false"/>
          <w:i w:val="false"/>
          <w:iCs w:val="false"/>
          <w:color w:val="222222"/>
          <w:sz w:val="20"/>
          <w:szCs w:val="20"/>
        </w:rPr>
        <w:t xml:space="preserve">The function accepts three 3D numpy arrays of identical spatial dimensions, plus configuration constants from config.py.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Parameter</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Shape</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dtype</w:t>
            </w:r>
          </w:p>
        </w:tc>
        <w:tc>
          <w:tcPr>
            <w:tcW w:type="dxa" w:w="45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Description</w:t>
            </w:r>
          </w:p>
        </w:tc>
      </w:tr>
      <w:tr>
        <w:tc>
          <w:tcPr>
            <w:tcW w:type="dxa" w:w="20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B84800"/>
                <w:sz w:val="18"/>
                <w:szCs w:val="18"/>
              </w:rPr>
              <w:t xml:space="preserve">ct_array</w:t>
            </w:r>
          </w:p>
        </w:tc>
        <w:tc>
          <w:tcPr>
            <w:tcW w:type="dxa" w:w="16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(Z, H, W)</w:t>
            </w:r>
          </w:p>
        </w:tc>
        <w:tc>
          <w:tcPr>
            <w:tcW w:type="dxa" w:w="12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float32</w:t>
            </w:r>
          </w:p>
        </w:tc>
        <w:tc>
          <w:tcPr>
            <w:tcW w:type="dxa" w:w="45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Resampled CT in Hounsfield units, 1 mm isotropic spacing</w:t>
            </w:r>
          </w:p>
        </w:tc>
      </w:tr>
      <w:tr>
        <w:tc>
          <w:tcPr>
            <w:tcW w:type="dxa" w:w="20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B84800"/>
                <w:sz w:val="18"/>
                <w:szCs w:val="18"/>
              </w:rPr>
              <w:t xml:space="preserve">region_mask</w:t>
            </w:r>
          </w:p>
        </w:tc>
        <w:tc>
          <w:tcPr>
            <w:tcW w:type="dxa" w:w="16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(Z, H, W)</w:t>
            </w:r>
          </w:p>
        </w:tc>
        <w:tc>
          <w:tcPr>
            <w:tcW w:type="dxa" w:w="12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uint8</w:t>
            </w:r>
          </w:p>
        </w:tc>
        <w:tc>
          <w:tcPr>
            <w:tcW w:type="dxa" w:w="45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Binary mask of the 5 cm peritumoral bounding region (1 = inside)</w:t>
            </w:r>
          </w:p>
        </w:tc>
      </w:tr>
      <w:tr>
        <w:tc>
          <w:tcPr>
            <w:tcW w:type="dxa" w:w="20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B84800"/>
                <w:sz w:val="18"/>
                <w:szCs w:val="18"/>
              </w:rPr>
              <w:t xml:space="preserve">gtv_array</w:t>
            </w:r>
          </w:p>
        </w:tc>
        <w:tc>
          <w:tcPr>
            <w:tcW w:type="dxa" w:w="16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(Z, H, W)</w:t>
            </w:r>
          </w:p>
        </w:tc>
        <w:tc>
          <w:tcPr>
            <w:tcW w:type="dxa" w:w="12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uint8</w:t>
            </w:r>
          </w:p>
        </w:tc>
        <w:tc>
          <w:tcPr>
            <w:tcW w:type="dxa" w:w="45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Binary GTV mask. Excluded from SLIC before running (see Section 4)</w:t>
            </w:r>
          </w:p>
        </w:tc>
      </w:tr>
      <w:tr>
        <w:tc>
          <w:tcPr>
            <w:tcW w:type="dxa" w:w="20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4A3080"/>
                <w:sz w:val="18"/>
                <w:szCs w:val="18"/>
              </w:rPr>
              <w:t xml:space="preserve">n_segments</w:t>
            </w:r>
          </w:p>
        </w:tc>
        <w:tc>
          <w:tcPr>
            <w:tcW w:type="dxa" w:w="16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scalar</w:t>
            </w:r>
          </w:p>
        </w:tc>
        <w:tc>
          <w:tcPr>
            <w:tcW w:type="dxa" w:w="12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int</w:t>
            </w:r>
          </w:p>
        </w:tc>
        <w:tc>
          <w:tcPr>
            <w:tcW w:type="dxa" w:w="45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Target supervoxel count, default 100 (from config.SLIC_N_SEGMENTS)</w:t>
            </w:r>
          </w:p>
        </w:tc>
      </w:tr>
    </w:tbl>
    <w:p>
      <w:pPr>
        <w:spacing w:after="0" w:before="0"/>
      </w:pPr>
    </w:p>
    <w:p>
      <w:pPr>
        <w:pBdr>
          <w:bottom w:val="single" w:color="C8C8C8" w:sz="6"/>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4</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Step 1 — GTV Exclusion from the SLIC Region</w:t>
            </w:r>
          </w:p>
        </w:tc>
      </w:tr>
    </w:tbl>
    <w:p>
      <w:pPr>
        <w:spacing w:after="0" w:before="0"/>
      </w:pPr>
    </w:p>
    <w:p>
      <w:pPr>
        <w:spacing w:after="120" w:before="80"/>
      </w:pPr>
      <w:r>
        <w:rPr>
          <w:rFonts w:ascii="Arial" w:cs="Arial" w:eastAsia="Arial" w:hAnsi="Arial"/>
          <w:b w:val="false"/>
          <w:bCs w:val="false"/>
          <w:i w:val="false"/>
          <w:iCs w:val="false"/>
          <w:color w:val="222222"/>
          <w:sz w:val="20"/>
          <w:szCs w:val="20"/>
        </w:rPr>
        <w:t xml:space="preserve">Before any segmentation begins, the GTV voxels are </w:t>
      </w:r>
      <w:r>
        <w:rPr>
          <w:rFonts w:ascii="Arial" w:cs="Arial" w:eastAsia="Arial" w:hAnsi="Arial"/>
          <w:b/>
          <w:bCs/>
          <w:i w:val="false"/>
          <w:iCs w:val="false"/>
          <w:color w:val="222222"/>
          <w:sz w:val="20"/>
          <w:szCs w:val="20"/>
        </w:rPr>
        <w:t xml:space="preserve">zeroed out in the peritumoral mask</w:t>
      </w:r>
      <w:r>
        <w:rPr>
          <w:rFonts w:ascii="Arial" w:cs="Arial" w:eastAsia="Arial" w:hAnsi="Arial"/>
          <w:b w:val="false"/>
          <w:bCs w:val="false"/>
          <w:i w:val="false"/>
          <w:iCs w:val="false"/>
          <w:color w:val="222222"/>
          <w:sz w:val="20"/>
          <w:szCs w:val="20"/>
        </w:rPr>
        <w:t xml:space="preserve">. SLIC will never see or label those voxels. This creates an annular </w:t>
      </w:r>
      <w:r>
        <w:rPr>
          <w:rFonts w:ascii="Arial" w:cs="Arial" w:eastAsia="Arial" w:hAnsi="Arial"/>
          <w:b w:val="false"/>
          <w:bCs w:val="false"/>
          <w:i/>
          <w:iCs/>
          <w:color w:val="222222"/>
          <w:sz w:val="20"/>
          <w:szCs w:val="20"/>
        </w:rPr>
        <w:t xml:space="preserve">peritumoral-only</w:t>
      </w:r>
      <w:r>
        <w:rPr>
          <w:rFonts w:ascii="Arial" w:cs="Arial" w:eastAsia="Arial" w:hAnsi="Arial"/>
          <w:b w:val="false"/>
          <w:bCs w:val="false"/>
          <w:i w:val="false"/>
          <w:iCs w:val="false"/>
          <w:color w:val="222222"/>
          <w:sz w:val="20"/>
          <w:szCs w:val="20"/>
        </w:rPr>
        <w:t xml:space="preserve"> region that SLIC segments, while the GTV remains untouched.</w:t>
      </w:r>
    </w:p>
    <w:p>
      <w:pPr>
        <w:spacing w:after="0" w:before="0"/>
      </w:pPr>
    </w:p>
    <w:p>
      <w:pPr>
        <w:pStyle w:val="Heading2"/>
        <w:spacing w:after="60" w:before="300"/>
      </w:pPr>
      <w:r>
        <w:rPr>
          <w:rFonts w:ascii="Arial" w:cs="Arial" w:eastAsia="Arial" w:hAnsi="Arial"/>
          <w:b/>
          <w:bCs/>
          <w:i w:val="false"/>
          <w:iCs w:val="false"/>
          <w:color w:val="0D6B6B"/>
          <w:sz w:val="23"/>
          <w:szCs w:val="23"/>
        </w:rPr>
        <w:t xml:space="preserve">4.1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3080" w:sz="4"/>
              <w:left w:val="single" w:color="4A3080" w:sz="12"/>
              <w:bottom w:val="none" w:color="FFFFFF" w:sz="0"/>
              <w:right w:val="single" w:color="4A3080" w:sz="4"/>
            </w:tcBorders>
            <w:shd w:fill="F0EBF7" w:val="clear"/>
            <w:tcMar>
              <w:top w:type="dxa" w:w="60"/>
              <w:left w:type="dxa" w:w="240"/>
              <w:bottom w:type="dxa" w:w="0"/>
              <w:right w:type="dxa" w:w="200"/>
            </w:tcMar>
          </w:tcPr>
          <w:p>
            <w:pPr>
              <w:spacing w:after="0" w:before="0"/>
            </w:pPr>
            <w:r>
              <w:rPr>
                <w:rFonts w:ascii="Arial" w:cs="Arial" w:eastAsia="Arial" w:hAnsi="Arial"/>
                <w:b/>
                <w:bCs/>
                <w:i w:val="false"/>
                <w:iCs w:val="false"/>
                <w:color w:val="4A3080"/>
                <w:sz w:val="15"/>
                <w:szCs w:val="15"/>
              </w:rPr>
              <w:t xml:space="preserve">Python</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Step 1: copy region mask and remove GTV voxels</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peritumoral_mask = region_mask.copy()</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if gtv_array is not None:</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peritumoral_mask[ gtv_array &gt; 0 ] = 0   # GTV voxels zeroed out</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SLIC receives only the peritumoral mask</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labels = slic(ct_normalized, mask=peritumoral_mask, slic_zero=True, ...)</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Consequence: all GTV voxels have label = 0 (background)</w:t>
            </w:r>
          </w:p>
        </w:tc>
      </w:tr>
      <w:tr>
        <w:tc>
          <w:tcPr>
            <w:tcW w:type="dxa" w:w="9360"/>
            <w:tcBorders>
              <w:top w:val="none" w:color="FFFFFF" w:sz="0"/>
              <w:left w:val="single" w:color="4A3080" w:sz="12"/>
              <w:bottom w:val="single" w:color="4A3080" w:sz="4"/>
              <w:right w:val="single" w:color="4A3080" w:sz="4"/>
            </w:tcBorders>
            <w:shd w:fill="FFF3EC" w:val="clear"/>
            <w:tcMar>
              <w:top w:type="dxa" w:w="0"/>
              <w:left w:type="dxa" w:w="240"/>
              <w:bottom w:type="dxa" w:w="40"/>
              <w:right w:type="dxa" w:w="200"/>
            </w:tcMar>
          </w:tcPr>
          <w:p>
            <w:pPr>
              <w:spacing w:after="0" w:before="0"/>
            </w:pP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4.2  Why this is the most important design decision</w:t>
      </w:r>
    </w:p>
    <w:p>
      <w:pPr>
        <w:pStyle w:val="ListParagraph"/>
        <w:numPr>
          <w:ilvl w:val="0"/>
          <w:numId w:val="2"/>
        </w:numPr>
        <w:spacing w:after="50" w:before="40"/>
      </w:pPr>
      <w:r>
        <w:rPr>
          <w:rFonts w:ascii="Arial" w:cs="Arial" w:eastAsia="Arial" w:hAnsi="Arial"/>
          <w:b/>
          <w:bCs/>
          <w:i w:val="false"/>
          <w:iCs w:val="false"/>
          <w:color w:val="222222"/>
          <w:sz w:val="20"/>
          <w:szCs w:val="20"/>
        </w:rPr>
        <w:t xml:space="preserve">Graph topology: </w:t>
      </w:r>
      <w:r>
        <w:rPr>
          <w:rFonts w:ascii="Arial" w:cs="Arial" w:eastAsia="Arial" w:hAnsi="Arial"/>
          <w:b w:val="false"/>
          <w:bCs w:val="false"/>
          <w:i w:val="false"/>
          <w:iCs w:val="false"/>
          <w:color w:val="222222"/>
          <w:sz w:val="20"/>
          <w:szCs w:val="20"/>
        </w:rPr>
        <w:t xml:space="preserve">The GTV is always node 0 (the hub) in the star graph. If SLIC fragments the GTV into 3–5 sub-regions, those fragments become multiple spoke nodes — breaking the intended hub-and-spoke structure.</w:t>
      </w:r>
    </w:p>
    <w:p>
      <w:pPr>
        <w:pStyle w:val="ListParagraph"/>
        <w:numPr>
          <w:ilvl w:val="0"/>
          <w:numId w:val="2"/>
        </w:numPr>
        <w:spacing w:after="50" w:before="40"/>
      </w:pPr>
      <w:r>
        <w:rPr>
          <w:rFonts w:ascii="Arial" w:cs="Arial" w:eastAsia="Arial" w:hAnsi="Arial"/>
          <w:b/>
          <w:bCs/>
          <w:i w:val="false"/>
          <w:iCs w:val="false"/>
          <w:color w:val="222222"/>
          <w:sz w:val="20"/>
          <w:szCs w:val="20"/>
        </w:rPr>
        <w:t xml:space="preserve">Signal purity: </w:t>
      </w:r>
      <w:r>
        <w:rPr>
          <w:rFonts w:ascii="Arial" w:cs="Arial" w:eastAsia="Arial" w:hAnsi="Arial"/>
          <w:b w:val="false"/>
          <w:bCs w:val="false"/>
          <w:i w:val="false"/>
          <w:iCs w:val="false"/>
          <w:color w:val="222222"/>
          <w:sz w:val="20"/>
          <w:szCs w:val="20"/>
        </w:rPr>
        <w:t xml:space="preserve">Supervoxels are intended to represent peritumoral microenvironment. Tumour voxels have a qualitatively different radiomic signature. Mixing them into the supervoxel pool contaminates the graph signal.</w:t>
      </w:r>
    </w:p>
    <w:p>
      <w:pPr>
        <w:pStyle w:val="ListParagraph"/>
        <w:numPr>
          <w:ilvl w:val="0"/>
          <w:numId w:val="2"/>
        </w:numPr>
        <w:spacing w:after="50" w:before="40"/>
      </w:pPr>
      <w:r>
        <w:rPr>
          <w:rFonts w:ascii="Arial" w:cs="Arial" w:eastAsia="Arial" w:hAnsi="Arial"/>
          <w:b/>
          <w:bCs/>
          <w:i w:val="false"/>
          <w:iCs w:val="false"/>
          <w:color w:val="222222"/>
          <w:sz w:val="20"/>
          <w:szCs w:val="20"/>
        </w:rPr>
        <w:t xml:space="preserve">Feature extraction: </w:t>
      </w:r>
      <w:r>
        <w:rPr>
          <w:rFonts w:ascii="Arial" w:cs="Arial" w:eastAsia="Arial" w:hAnsi="Arial"/>
          <w:b w:val="false"/>
          <w:bCs w:val="false"/>
          <w:i w:val="false"/>
          <w:iCs w:val="false"/>
          <w:color w:val="222222"/>
          <w:sz w:val="20"/>
          <w:szCs w:val="20"/>
        </w:rPr>
        <w:t xml:space="preserve">In feature_extractor.py, GTV features are extracted separately using the raw binary GTV mask — not from the supervoxel label map. The two paths must not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4"/>
              <w:left w:val="single" w:color="1A6B2F" w:sz="20"/>
              <w:bottom w:val="single" w:color="C8C8C8" w:sz="4"/>
              <w:right w:val="single" w:color="C8C8C8" w:sz="4"/>
            </w:tcBorders>
            <w:shd w:fill="E2F4E8" w:val="clear"/>
            <w:tcMar>
              <w:top w:type="dxa" w:w="120"/>
              <w:left w:type="dxa" w:w="280"/>
              <w:bottom w:type="dxa" w:w="120"/>
              <w:right w:type="dxa" w:w="200"/>
            </w:tcMar>
          </w:tcPr>
          <w:p>
            <w:pPr>
              <w:spacing w:after="60" w:before="0"/>
            </w:pPr>
            <w:r>
              <w:rPr>
                <w:rFonts w:ascii="Arial" w:cs="Arial" w:eastAsia="Arial" w:hAnsi="Arial"/>
                <w:b/>
                <w:bCs/>
                <w:i w:val="false"/>
                <w:iCs w:val="false"/>
                <w:color w:val="1A6B2F"/>
                <w:sz w:val="19"/>
                <w:szCs w:val="19"/>
              </w:rPr>
              <w:t xml:space="preserve">Tip</w:t>
            </w:r>
          </w:p>
          <w:p>
            <w:pPr>
              <w:spacing w:after="0" w:before="0"/>
            </w:pPr>
            <w:r>
              <w:rPr>
                <w:rFonts w:ascii="Arial" w:cs="Arial" w:eastAsia="Arial" w:hAnsi="Arial"/>
                <w:b w:val="false"/>
                <w:bCs w:val="false"/>
                <w:i w:val="false"/>
                <w:iCs w:val="false"/>
                <w:color w:val="222222"/>
                <w:sz w:val="19"/>
                <w:szCs w:val="19"/>
              </w:rPr>
              <w:t xml:space="preserve">The result is an annular region: the 5 cm peritumoral shell with a GTV-shaped hole in the middle. SLIC carves this shell into ~100 supervoxels without crossing the tumour boundary.</w:t>
            </w:r>
          </w:p>
        </w:tc>
      </w:tr>
    </w:tbl>
    <w:p>
      <w:pPr>
        <w:spacing w:after="0" w:before="0"/>
      </w:pPr>
    </w:p>
    <w:p>
      <w:pPr>
        <w:pBdr>
          <w:bottom w:val="single" w:color="C8C8C8" w:sz="6"/>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5</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Step 2 — CT Intensity Normalisation</w:t>
            </w:r>
          </w:p>
        </w:tc>
      </w:tr>
    </w:tbl>
    <w:p>
      <w:pPr>
        <w:spacing w:after="0" w:before="0"/>
      </w:pPr>
    </w:p>
    <w:p>
      <w:pPr>
        <w:spacing w:after="120" w:before="80"/>
      </w:pPr>
      <w:r>
        <w:rPr>
          <w:rFonts w:ascii="Arial" w:cs="Arial" w:eastAsia="Arial" w:hAnsi="Arial"/>
          <w:b w:val="false"/>
          <w:bCs w:val="false"/>
          <w:i w:val="false"/>
          <w:iCs w:val="false"/>
          <w:color w:val="222222"/>
          <w:sz w:val="20"/>
          <w:szCs w:val="20"/>
        </w:rPr>
        <w:t xml:space="preserve">SLIC clusters voxels based on intensity similarity. Raw Hounsfield Units (HU) range from −1000 (air) to +3000 (dense bone). Feeding this raw range to SLIC would cause it to cluster primarily around extreme air/bone boundaries rather than the clinically relevant soft-tissue transitions. Normalisation is required.</w:t>
      </w:r>
    </w:p>
    <w:p>
      <w:pPr>
        <w:spacing w:after="0" w:before="0"/>
      </w:pPr>
    </w:p>
    <w:p>
      <w:pPr>
        <w:pStyle w:val="Heading2"/>
        <w:spacing w:after="60" w:before="300"/>
      </w:pPr>
      <w:r>
        <w:rPr>
          <w:rFonts w:ascii="Arial" w:cs="Arial" w:eastAsia="Arial" w:hAnsi="Arial"/>
          <w:b/>
          <w:bCs/>
          <w:i w:val="false"/>
          <w:iCs w:val="false"/>
          <w:color w:val="0D6B6B"/>
          <w:sz w:val="23"/>
          <w:szCs w:val="23"/>
        </w:rPr>
        <w:t xml:space="preserve">5.1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3080" w:sz="4"/>
              <w:left w:val="single" w:color="4A3080" w:sz="12"/>
              <w:bottom w:val="none" w:color="FFFFFF" w:sz="0"/>
              <w:right w:val="single" w:color="4A3080" w:sz="4"/>
            </w:tcBorders>
            <w:shd w:fill="F0EBF7" w:val="clear"/>
            <w:tcMar>
              <w:top w:type="dxa" w:w="60"/>
              <w:left w:type="dxa" w:w="240"/>
              <w:bottom w:type="dxa" w:w="0"/>
              <w:right w:type="dxa" w:w="200"/>
            </w:tcMar>
          </w:tcPr>
          <w:p>
            <w:pPr>
              <w:spacing w:after="0" w:before="0"/>
            </w:pPr>
            <w:r>
              <w:rPr>
                <w:rFonts w:ascii="Arial" w:cs="Arial" w:eastAsia="Arial" w:hAnsi="Arial"/>
                <w:b/>
                <w:bCs/>
                <w:i w:val="false"/>
                <w:iCs w:val="false"/>
                <w:color w:val="4A3080"/>
                <w:sz w:val="15"/>
                <w:szCs w:val="15"/>
              </w:rPr>
              <w:t xml:space="preserve">Python</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Compute min and max ONLY within the peritumoral region</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ct_in_region  = ct_array[ peritumoral_mask &gt; 0 ]</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region_min    = ct_in_region.min()</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region_max    = ct_in_region.max()</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Min-max normalise</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ct_normalized = (ct_array - region_min) / (region_max - region_min + 1e-6)</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Clip to [0, 1] — excludes out-of-region voxels</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ct_normalized = np.clip(ct_normalized, 0.0, 1.0)</w:t>
            </w:r>
          </w:p>
        </w:tc>
      </w:tr>
      <w:tr>
        <w:tc>
          <w:tcPr>
            <w:tcW w:type="dxa" w:w="9360"/>
            <w:tcBorders>
              <w:top w:val="none" w:color="FFFFFF" w:sz="0"/>
              <w:left w:val="single" w:color="4A3080" w:sz="12"/>
              <w:bottom w:val="single" w:color="4A3080" w:sz="4"/>
              <w:right w:val="single" w:color="4A3080" w:sz="4"/>
            </w:tcBorders>
            <w:shd w:fill="FFF3EC" w:val="clear"/>
            <w:tcMar>
              <w:top w:type="dxa" w:w="0"/>
              <w:left w:type="dxa" w:w="240"/>
              <w:bottom w:type="dxa" w:w="40"/>
              <w:right w:type="dxa" w:w="200"/>
            </w:tcMar>
          </w:tcPr>
          <w:p>
            <w:pPr>
              <w:spacing w:after="0" w:before="0"/>
            </w:pP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5.2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6B" w:sz="6"/>
              <w:left w:val="single" w:color="0D6B6B" w:sz="14"/>
              <w:bottom w:val="none" w:color="FFFFFF" w:sz="0"/>
              <w:right w:val="single" w:color="C8C8C8" w:sz="4"/>
            </w:tcBorders>
            <w:shd w:fill="D4EEEE" w:val="clear"/>
            <w:tcMar>
              <w:top w:type="dxa" w:w="80"/>
              <w:left w:type="dxa" w:w="280"/>
              <w:bottom w:type="dxa" w:w="0"/>
              <w:right w:type="dxa" w:w="200"/>
            </w:tcMar>
          </w:tcPr>
          <w:p>
            <w:pPr>
              <w:spacing w:after="0" w:before="0"/>
            </w:pPr>
            <w:r>
              <w:rPr>
                <w:rFonts w:ascii="Arial" w:cs="Arial" w:eastAsia="Arial" w:hAnsi="Arial"/>
                <w:b/>
                <w:bCs/>
                <w:i w:val="false"/>
                <w:iCs w:val="false"/>
                <w:color w:val="0D6B6B"/>
                <w:sz w:val="17"/>
                <w:szCs w:val="17"/>
              </w:rPr>
              <w:t xml:space="preserve">Min-max normalisation</w:t>
            </w:r>
          </w:p>
        </w:tc>
      </w:tr>
      <w:tr>
        <w:tc>
          <w:tcPr>
            <w:tcW w:type="dxa" w:w="9360"/>
            <w:tcBorders>
              <w:top w:val="none" w:color="FFFFFF" w:sz="0"/>
              <w:left w:val="single" w:color="0D6B6B" w:sz="14"/>
              <w:bottom w:val="none" w:color="FFFFFF" w:sz="0"/>
              <w:right w:val="single" w:color="C8C8C8" w:sz="4"/>
            </w:tcBorders>
            <w:shd w:fill="FFFFFF" w:val="clear"/>
            <w:tcMar>
              <w:top w:type="dxa" w:w="160"/>
              <w:left w:type="dxa" w:w="280"/>
              <w:bottom w:type="dxa" w:w="160"/>
              <w:right w:type="dxa" w:w="200"/>
            </w:tcMar>
          </w:tcPr>
          <w:p>
            <w:pPr>
              <w:spacing w:after="0" w:before="0"/>
              <w:jc w:val="center"/>
            </w:pPr>
            <w:r>
              <w:rPr>
                <w:rFonts w:ascii="Courier New" w:cs="Courier New" w:eastAsia="Courier New" w:hAnsi="Courier New"/>
                <w:b/>
                <w:bCs/>
                <w:i w:val="false"/>
                <w:iCs w:val="false"/>
                <w:color w:val="1B3A6B"/>
                <w:sz w:val="21"/>
                <w:szCs w:val="21"/>
              </w:rPr>
              <w:t xml:space="preserve">I_norm(v)  =  [ I(v) − min_R ]  /  [ max_R − min_R + ε ]</w:t>
            </w:r>
          </w:p>
        </w:tc>
      </w:tr>
      <w:tr>
        <w:tc>
          <w:tcPr>
            <w:tcW w:type="dxa" w:w="9360"/>
            <w:tcBorders>
              <w:top w:val="none" w:color="FFFFFF" w:sz="0"/>
              <w:left w:val="single" w:color="0D6B6B" w:sz="14"/>
              <w:bottom w:val="single" w:color="0D6B6B" w:sz="6"/>
              <w:right w:val="single" w:color="C8C8C8" w:sz="4"/>
            </w:tcBorders>
            <w:shd w:fill="D4EEEE" w:val="clear"/>
            <w:tcMar>
              <w:top w:type="dxa" w:w="80"/>
              <w:left w:type="dxa" w:w="280"/>
              <w:bottom w:type="dxa" w:w="80"/>
              <w:right w:type="dxa" w:w="200"/>
            </w:tcMar>
          </w:tcPr>
          <w:p>
            <w:pPr>
              <w:spacing w:after="0" w:before="0"/>
            </w:pPr>
            <w:r>
              <w:rPr>
                <w:rFonts w:ascii="Courier New" w:cs="Courier New" w:eastAsia="Courier New" w:hAnsi="Courier New"/>
                <w:b/>
                <w:bCs/>
                <w:i w:val="false"/>
                <w:iCs w:val="false"/>
                <w:color w:val="0D6B6B"/>
                <w:sz w:val="17"/>
                <w:szCs w:val="17"/>
              </w:rPr>
              <w:t xml:space="preserve">I(v)</w:t>
            </w:r>
            <w:r>
              <w:rPr>
                <w:rFonts w:ascii="Arial" w:cs="Arial" w:eastAsia="Arial" w:hAnsi="Arial"/>
                <w:b w:val="false"/>
                <w:bCs w:val="false"/>
                <w:i w:val="false"/>
                <w:iCs w:val="false"/>
                <w:color w:val="222222"/>
                <w:sz w:val="17"/>
                <w:szCs w:val="17"/>
              </w:rPr>
              <w:t xml:space="preserve">  —  raw HU value at voxel v</w:t>
            </w:r>
          </w:p>
          <w:p>
            <w:pPr>
              <w:spacing w:after="0" w:before="0"/>
            </w:pPr>
            <w:r>
              <w:rPr>
                <w:rFonts w:ascii="Courier New" w:cs="Courier New" w:eastAsia="Courier New" w:hAnsi="Courier New"/>
                <w:b/>
                <w:bCs/>
                <w:i w:val="false"/>
                <w:iCs w:val="false"/>
                <w:color w:val="0D6B6B"/>
                <w:sz w:val="17"/>
                <w:szCs w:val="17"/>
              </w:rPr>
              <w:t xml:space="preserve">min_R</w:t>
            </w:r>
            <w:r>
              <w:rPr>
                <w:rFonts w:ascii="Arial" w:cs="Arial" w:eastAsia="Arial" w:hAnsi="Arial"/>
                <w:b w:val="false"/>
                <w:bCs w:val="false"/>
                <w:i w:val="false"/>
                <w:iCs w:val="false"/>
                <w:color w:val="222222"/>
                <w:sz w:val="17"/>
                <w:szCs w:val="17"/>
              </w:rPr>
              <w:t xml:space="preserve">  —  minimum HU value computed inside the peritumoral mask R only</w:t>
            </w:r>
          </w:p>
          <w:p>
            <w:pPr>
              <w:spacing w:after="0" w:before="0"/>
            </w:pPr>
            <w:r>
              <w:rPr>
                <w:rFonts w:ascii="Courier New" w:cs="Courier New" w:eastAsia="Courier New" w:hAnsi="Courier New"/>
                <w:b/>
                <w:bCs/>
                <w:i w:val="false"/>
                <w:iCs w:val="false"/>
                <w:color w:val="0D6B6B"/>
                <w:sz w:val="17"/>
                <w:szCs w:val="17"/>
              </w:rPr>
              <w:t xml:space="preserve">max_R</w:t>
            </w:r>
            <w:r>
              <w:rPr>
                <w:rFonts w:ascii="Arial" w:cs="Arial" w:eastAsia="Arial" w:hAnsi="Arial"/>
                <w:b w:val="false"/>
                <w:bCs w:val="false"/>
                <w:i w:val="false"/>
                <w:iCs w:val="false"/>
                <w:color w:val="222222"/>
                <w:sz w:val="17"/>
                <w:szCs w:val="17"/>
              </w:rPr>
              <w:t xml:space="preserve">  —  maximum HU value computed inside the peritumoral mask R only</w:t>
            </w:r>
          </w:p>
          <w:p>
            <w:pPr>
              <w:spacing w:after="0" w:before="0"/>
            </w:pPr>
            <w:r>
              <w:rPr>
                <w:rFonts w:ascii="Courier New" w:cs="Courier New" w:eastAsia="Courier New" w:hAnsi="Courier New"/>
                <w:b/>
                <w:bCs/>
                <w:i w:val="false"/>
                <w:iCs w:val="false"/>
                <w:color w:val="0D6B6B"/>
                <w:sz w:val="17"/>
                <w:szCs w:val="17"/>
              </w:rPr>
              <w:t xml:space="preserve">ε</w:t>
            </w:r>
            <w:r>
              <w:rPr>
                <w:rFonts w:ascii="Arial" w:cs="Arial" w:eastAsia="Arial" w:hAnsi="Arial"/>
                <w:b w:val="false"/>
                <w:bCs w:val="false"/>
                <w:i w:val="false"/>
                <w:iCs w:val="false"/>
                <w:color w:val="222222"/>
                <w:sz w:val="17"/>
                <w:szCs w:val="17"/>
              </w:rPr>
              <w:t xml:space="preserve">  —  small constant (1e−6) to prevent division by zero</w:t>
            </w:r>
          </w:p>
          <w:p>
            <w:pPr>
              <w:spacing w:after="0" w:before="0"/>
            </w:pPr>
            <w:r>
              <w:rPr>
                <w:rFonts w:ascii="Courier New" w:cs="Courier New" w:eastAsia="Courier New" w:hAnsi="Courier New"/>
                <w:b/>
                <w:bCs/>
                <w:i w:val="false"/>
                <w:iCs w:val="false"/>
                <w:color w:val="0D6B6B"/>
                <w:sz w:val="17"/>
                <w:szCs w:val="17"/>
              </w:rPr>
              <w:t xml:space="preserve">I_norm(v)</w:t>
            </w:r>
            <w:r>
              <w:rPr>
                <w:rFonts w:ascii="Arial" w:cs="Arial" w:eastAsia="Arial" w:hAnsi="Arial"/>
                <w:b w:val="false"/>
                <w:bCs w:val="false"/>
                <w:i w:val="false"/>
                <w:iCs w:val="false"/>
                <w:color w:val="222222"/>
                <w:sz w:val="17"/>
                <w:szCs w:val="17"/>
              </w:rPr>
              <w:t xml:space="preserve">  —  normalised intensity in [0, 1]</w:t>
            </w: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5.3  Why region-restricted normalisation matters</w:t>
      </w:r>
    </w:p>
    <w:p>
      <w:pPr>
        <w:spacing w:after="120" w:before="80"/>
      </w:pPr>
      <w:r>
        <w:rPr>
          <w:rFonts w:ascii="Arial" w:cs="Arial" w:eastAsia="Arial" w:hAnsi="Arial"/>
          <w:b w:val="false"/>
          <w:bCs w:val="false"/>
          <w:i w:val="false"/>
          <w:iCs w:val="false"/>
          <w:color w:val="222222"/>
          <w:sz w:val="20"/>
          <w:szCs w:val="20"/>
        </w:rPr>
        <w:t xml:space="preserve">If the min/max were computed over the full CT volume, background air voxels at −1000 HU would anchor the minimum. The denominator would be ~4000 HU, compressing the entire peritumoral tissue range (~200–600 HU) into a narrow band of about 0.30–0.40 in the normalised space. SLIC would see almost no intensity variation within the region.</w:t>
      </w:r>
    </w:p>
    <w:p>
      <w:pPr>
        <w:spacing w:after="120" w:before="80"/>
      </w:pPr>
      <w:r>
        <w:rPr>
          <w:rFonts w:ascii="Arial" w:cs="Arial" w:eastAsia="Arial" w:hAnsi="Arial"/>
          <w:b w:val="false"/>
          <w:bCs w:val="false"/>
          <w:i w:val="false"/>
          <w:iCs w:val="false"/>
          <w:color w:val="222222"/>
          <w:sz w:val="20"/>
          <w:szCs w:val="20"/>
        </w:rPr>
        <w:t xml:space="preserve">With region-restricted normalisation, the tissue of interest spans the full [0, 1] range, giving SLIC maximum discriminative power to detect intensity boundaries within the peritumoral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Strategy</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Denominator</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Tissue range in [0, 1]</w:t>
            </w:r>
          </w:p>
        </w:tc>
        <w:tc>
          <w:tcPr>
            <w:tcW w:type="dxa" w:w="21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Outcome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Full-volume normalisation</w:t>
            </w:r>
          </w:p>
        </w:tc>
        <w:tc>
          <w:tcPr>
            <w:tcW w:type="dxa" w:w="22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~4000 HU</w:t>
            </w:r>
          </w:p>
        </w:tc>
        <w:tc>
          <w:tcPr>
            <w:tcW w:type="dxa" w:w="22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8B1A1A"/>
                <w:sz w:val="18"/>
                <w:szCs w:val="18"/>
              </w:rPr>
              <w:t xml:space="preserve">0.30 – 0.40 only</w:t>
            </w:r>
          </w:p>
        </w:tc>
        <w:tc>
          <w:tcPr>
            <w:tcW w:type="dxa" w:w="21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8B1A1A"/>
                <w:sz w:val="18"/>
                <w:szCs w:val="18"/>
              </w:rPr>
              <w:t xml:space="preserve">Poor tissue contrast</w:t>
            </w:r>
          </w:p>
        </w:tc>
      </w:tr>
      <w:tr>
        <w:tc>
          <w:tcPr>
            <w:tcW w:type="dxa" w:w="28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bCs/>
                <w:i w:val="false"/>
                <w:iCs w:val="false"/>
                <w:color w:val="222222"/>
                <w:sz w:val="18"/>
                <w:szCs w:val="18"/>
              </w:rPr>
              <w:t xml:space="preserve">Region-restricted (ours)</w:t>
            </w:r>
          </w:p>
        </w:tc>
        <w:tc>
          <w:tcPr>
            <w:tcW w:type="dxa" w:w="22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bCs/>
                <w:i w:val="false"/>
                <w:iCs w:val="false"/>
                <w:color w:val="222222"/>
                <w:sz w:val="18"/>
                <w:szCs w:val="18"/>
              </w:rPr>
              <w:t xml:space="preserve">~200–600 HU</w:t>
            </w:r>
          </w:p>
        </w:tc>
        <w:tc>
          <w:tcPr>
            <w:tcW w:type="dxa" w:w="22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bCs/>
                <w:i w:val="false"/>
                <w:iCs w:val="false"/>
                <w:color w:val="1A6B2F"/>
                <w:sz w:val="18"/>
                <w:szCs w:val="18"/>
              </w:rPr>
              <w:t xml:space="preserve">0.0 – 1.0 (full range)</w:t>
            </w:r>
          </w:p>
        </w:tc>
        <w:tc>
          <w:tcPr>
            <w:tcW w:type="dxa" w:w="21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bCs/>
                <w:i w:val="false"/>
                <w:iCs w:val="false"/>
                <w:color w:val="1A6B2F"/>
                <w:sz w:val="18"/>
                <w:szCs w:val="18"/>
              </w:rPr>
              <w:t xml:space="preserve">Maximum tissue contrast</w:t>
            </w:r>
          </w:p>
        </w:tc>
      </w:tr>
    </w:tbl>
    <w:p>
      <w:pPr>
        <w:spacing w:after="0" w:before="0"/>
      </w:pPr>
    </w:p>
    <w:p>
      <w:pPr>
        <w:pBdr>
          <w:bottom w:val="single" w:color="C8C8C8" w:sz="6"/>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6</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Step 3 — The Zero-Parameter SLIC Algorithm</w:t>
            </w:r>
          </w:p>
        </w:tc>
      </w:tr>
    </w:tbl>
    <w:p>
      <w:pPr>
        <w:spacing w:after="0" w:before="0"/>
      </w:pPr>
    </w:p>
    <w:p>
      <w:pPr>
        <w:spacing w:after="120" w:before="80"/>
      </w:pPr>
      <w:r>
        <w:rPr>
          <w:rFonts w:ascii="Arial" w:cs="Arial" w:eastAsia="Arial" w:hAnsi="Arial"/>
          <w:b w:val="false"/>
          <w:bCs w:val="false"/>
          <w:i w:val="false"/>
          <w:iCs w:val="false"/>
          <w:color w:val="222222"/>
          <w:sz w:val="20"/>
          <w:szCs w:val="20"/>
        </w:rPr>
        <w:t xml:space="preserve">SLIC (Achanta et al., IEEE TPAMI, 2012) generates supervoxels by running a modified </w:t>
      </w:r>
      <w:r>
        <w:rPr>
          <w:rFonts w:ascii="Arial" w:cs="Arial" w:eastAsia="Arial" w:hAnsi="Arial"/>
          <w:b/>
          <w:bCs/>
          <w:i w:val="false"/>
          <w:iCs w:val="false"/>
          <w:color w:val="222222"/>
          <w:sz w:val="20"/>
          <w:szCs w:val="20"/>
        </w:rPr>
        <w:t xml:space="preserve">k-means clustering</w:t>
      </w:r>
      <w:r>
        <w:rPr>
          <w:rFonts w:ascii="Arial" w:cs="Arial" w:eastAsia="Arial" w:hAnsi="Arial"/>
          <w:b w:val="false"/>
          <w:bCs w:val="false"/>
          <w:i w:val="false"/>
          <w:iCs w:val="false"/>
          <w:color w:val="222222"/>
          <w:sz w:val="20"/>
          <w:szCs w:val="20"/>
        </w:rPr>
        <w:t xml:space="preserve"> in a combined intensity–spatial feature space. Two innovations distinguish it from standard k-means: a </w:t>
      </w:r>
      <w:r>
        <w:rPr>
          <w:rFonts w:ascii="Arial" w:cs="Arial" w:eastAsia="Arial" w:hAnsi="Arial"/>
          <w:b/>
          <w:bCs/>
          <w:i w:val="false"/>
          <w:iCs w:val="false"/>
          <w:color w:val="222222"/>
          <w:sz w:val="20"/>
          <w:szCs w:val="20"/>
        </w:rPr>
        <w:t xml:space="preserve">local search window</w:t>
      </w:r>
      <w:r>
        <w:rPr>
          <w:rFonts w:ascii="Arial" w:cs="Arial" w:eastAsia="Arial" w:hAnsi="Arial"/>
          <w:b w:val="false"/>
          <w:bCs w:val="false"/>
          <w:i w:val="false"/>
          <w:iCs w:val="false"/>
          <w:color w:val="222222"/>
          <w:sz w:val="20"/>
          <w:szCs w:val="20"/>
        </w:rPr>
        <w:t xml:space="preserve"> that gives O(N) complexity, and — in zero-parameter mode — an </w:t>
      </w:r>
      <w:r>
        <w:rPr>
          <w:rFonts w:ascii="Arial" w:cs="Arial" w:eastAsia="Arial" w:hAnsi="Arial"/>
          <w:b/>
          <w:bCs/>
          <w:i w:val="false"/>
          <w:iCs w:val="false"/>
          <w:color w:val="222222"/>
          <w:sz w:val="20"/>
          <w:szCs w:val="20"/>
        </w:rPr>
        <w:t xml:space="preserve">adaptive compactness</w:t>
      </w:r>
      <w:r>
        <w:rPr>
          <w:rFonts w:ascii="Arial" w:cs="Arial" w:eastAsia="Arial" w:hAnsi="Arial"/>
          <w:b w:val="false"/>
          <w:bCs w:val="false"/>
          <w:i w:val="false"/>
          <w:iCs w:val="false"/>
          <w:color w:val="222222"/>
          <w:sz w:val="20"/>
          <w:szCs w:val="20"/>
        </w:rPr>
        <w:t xml:space="preserve"> parameter that requires no manual tuning.</w:t>
      </w:r>
    </w:p>
    <w:p>
      <w:pPr>
        <w:spacing w:after="0" w:before="0"/>
      </w:pPr>
    </w:p>
    <w:p>
      <w:pPr>
        <w:pStyle w:val="Heading2"/>
        <w:spacing w:after="60" w:before="300"/>
      </w:pPr>
      <w:r>
        <w:rPr>
          <w:rFonts w:ascii="Arial" w:cs="Arial" w:eastAsia="Arial" w:hAnsi="Arial"/>
          <w:b/>
          <w:bCs/>
          <w:i w:val="false"/>
          <w:iCs w:val="false"/>
          <w:color w:val="0D6B6B"/>
          <w:sz w:val="23"/>
          <w:szCs w:val="23"/>
        </w:rPr>
        <w:t xml:space="preserve">6.1  Initialise cluster centres on a regular grid</w:t>
      </w:r>
    </w:p>
    <w:p>
      <w:pPr>
        <w:spacing w:after="120" w:before="80"/>
      </w:pPr>
      <w:r>
        <w:rPr>
          <w:rFonts w:ascii="Arial" w:cs="Arial" w:eastAsia="Arial" w:hAnsi="Arial"/>
          <w:b w:val="false"/>
          <w:bCs w:val="false"/>
          <w:i w:val="false"/>
          <w:iCs w:val="false"/>
          <w:color w:val="222222"/>
          <w:sz w:val="20"/>
          <w:szCs w:val="20"/>
        </w:rPr>
        <w:t xml:space="preserve">Before any iteration, SLIC places seed cluster centres on a regular 3D grid within the masked region. The grid spacing S is chosen so that K seeds fit the available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6B" w:sz="6"/>
              <w:left w:val="single" w:color="0D6B6B" w:sz="14"/>
              <w:bottom w:val="none" w:color="FFFFFF" w:sz="0"/>
              <w:right w:val="single" w:color="C8C8C8" w:sz="4"/>
            </w:tcBorders>
            <w:shd w:fill="D4EEEE" w:val="clear"/>
            <w:tcMar>
              <w:top w:type="dxa" w:w="80"/>
              <w:left w:type="dxa" w:w="280"/>
              <w:bottom w:type="dxa" w:w="0"/>
              <w:right w:type="dxa" w:w="200"/>
            </w:tcMar>
          </w:tcPr>
          <w:p>
            <w:pPr>
              <w:spacing w:after="0" w:before="0"/>
            </w:pPr>
            <w:r>
              <w:rPr>
                <w:rFonts w:ascii="Arial" w:cs="Arial" w:eastAsia="Arial" w:hAnsi="Arial"/>
                <w:b/>
                <w:bCs/>
                <w:i w:val="false"/>
                <w:iCs w:val="false"/>
                <w:color w:val="0D6B6B"/>
                <w:sz w:val="17"/>
                <w:szCs w:val="17"/>
              </w:rPr>
              <w:t xml:space="preserve">Grid spacing</w:t>
            </w:r>
          </w:p>
        </w:tc>
      </w:tr>
      <w:tr>
        <w:tc>
          <w:tcPr>
            <w:tcW w:type="dxa" w:w="9360"/>
            <w:tcBorders>
              <w:top w:val="none" w:color="FFFFFF" w:sz="0"/>
              <w:left w:val="single" w:color="0D6B6B" w:sz="14"/>
              <w:bottom w:val="none" w:color="FFFFFF" w:sz="0"/>
              <w:right w:val="single" w:color="C8C8C8" w:sz="4"/>
            </w:tcBorders>
            <w:shd w:fill="FFFFFF" w:val="clear"/>
            <w:tcMar>
              <w:top w:type="dxa" w:w="160"/>
              <w:left w:type="dxa" w:w="280"/>
              <w:bottom w:type="dxa" w:w="160"/>
              <w:right w:type="dxa" w:w="200"/>
            </w:tcMar>
          </w:tcPr>
          <w:p>
            <w:pPr>
              <w:spacing w:after="0" w:before="0"/>
              <w:jc w:val="center"/>
            </w:pPr>
            <w:r>
              <w:rPr>
                <w:rFonts w:ascii="Courier New" w:cs="Courier New" w:eastAsia="Courier New" w:hAnsi="Courier New"/>
                <w:b/>
                <w:bCs/>
                <w:i w:val="false"/>
                <w:iCs w:val="false"/>
                <w:color w:val="1B3A6B"/>
                <w:sz w:val="21"/>
                <w:szCs w:val="21"/>
              </w:rPr>
              <w:t xml:space="preserve">S  =  ( V / K ) ^ (1/3)</w:t>
            </w:r>
          </w:p>
        </w:tc>
      </w:tr>
      <w:tr>
        <w:tc>
          <w:tcPr>
            <w:tcW w:type="dxa" w:w="9360"/>
            <w:tcBorders>
              <w:top w:val="none" w:color="FFFFFF" w:sz="0"/>
              <w:left w:val="single" w:color="0D6B6B" w:sz="14"/>
              <w:bottom w:val="single" w:color="0D6B6B" w:sz="6"/>
              <w:right w:val="single" w:color="C8C8C8" w:sz="4"/>
            </w:tcBorders>
            <w:shd w:fill="D4EEEE" w:val="clear"/>
            <w:tcMar>
              <w:top w:type="dxa" w:w="80"/>
              <w:left w:type="dxa" w:w="280"/>
              <w:bottom w:type="dxa" w:w="80"/>
              <w:right w:type="dxa" w:w="200"/>
            </w:tcMar>
          </w:tcPr>
          <w:p>
            <w:pPr>
              <w:spacing w:after="0" w:before="0"/>
            </w:pPr>
            <w:r>
              <w:rPr>
                <w:rFonts w:ascii="Courier New" w:cs="Courier New" w:eastAsia="Courier New" w:hAnsi="Courier New"/>
                <w:b/>
                <w:bCs/>
                <w:i w:val="false"/>
                <w:iCs w:val="false"/>
                <w:color w:val="0D6B6B"/>
                <w:sz w:val="17"/>
                <w:szCs w:val="17"/>
              </w:rPr>
              <w:t xml:space="preserve">V</w:t>
            </w:r>
            <w:r>
              <w:rPr>
                <w:rFonts w:ascii="Arial" w:cs="Arial" w:eastAsia="Arial" w:hAnsi="Arial"/>
                <w:b w:val="false"/>
                <w:bCs w:val="false"/>
                <w:i w:val="false"/>
                <w:iCs w:val="false"/>
                <w:color w:val="222222"/>
                <w:sz w:val="17"/>
                <w:szCs w:val="17"/>
              </w:rPr>
              <w:t xml:space="preserve">  —  total number of voxels inside the peritumoral mask</w:t>
            </w:r>
          </w:p>
          <w:p>
            <w:pPr>
              <w:spacing w:after="0" w:before="0"/>
            </w:pPr>
            <w:r>
              <w:rPr>
                <w:rFonts w:ascii="Courier New" w:cs="Courier New" w:eastAsia="Courier New" w:hAnsi="Courier New"/>
                <w:b/>
                <w:bCs/>
                <w:i w:val="false"/>
                <w:iCs w:val="false"/>
                <w:color w:val="0D6B6B"/>
                <w:sz w:val="17"/>
                <w:szCs w:val="17"/>
              </w:rPr>
              <w:t xml:space="preserve">K</w:t>
            </w:r>
            <w:r>
              <w:rPr>
                <w:rFonts w:ascii="Arial" w:cs="Arial" w:eastAsia="Arial" w:hAnsi="Arial"/>
                <w:b w:val="false"/>
                <w:bCs w:val="false"/>
                <w:i w:val="false"/>
                <w:iCs w:val="false"/>
                <w:color w:val="222222"/>
                <w:sz w:val="17"/>
                <w:szCs w:val="17"/>
              </w:rPr>
              <w:t xml:space="preserve">  —  target supervoxel count (default: 100)</w:t>
            </w:r>
          </w:p>
          <w:p>
            <w:pPr>
              <w:spacing w:after="0" w:before="0"/>
            </w:pPr>
            <w:r>
              <w:rPr>
                <w:rFonts w:ascii="Courier New" w:cs="Courier New" w:eastAsia="Courier New" w:hAnsi="Courier New"/>
                <w:b/>
                <w:bCs/>
                <w:i w:val="false"/>
                <w:iCs w:val="false"/>
                <w:color w:val="0D6B6B"/>
                <w:sz w:val="17"/>
                <w:szCs w:val="17"/>
              </w:rPr>
              <w:t xml:space="preserve">S</w:t>
            </w:r>
            <w:r>
              <w:rPr>
                <w:rFonts w:ascii="Arial" w:cs="Arial" w:eastAsia="Arial" w:hAnsi="Arial"/>
                <w:b w:val="false"/>
                <w:bCs w:val="false"/>
                <w:i w:val="false"/>
                <w:iCs w:val="false"/>
                <w:color w:val="222222"/>
                <w:sz w:val="17"/>
                <w:szCs w:val="17"/>
              </w:rPr>
              <w:t xml:space="preserve">  —  grid spacing in voxels — e.g. for V = 500,000 and K = 100,  S ≈ 17 voxels (17 mm at 1 mm isotropic)</w:t>
            </w:r>
          </w:p>
        </w:tc>
      </w:tr>
    </w:tbl>
    <w:p>
      <w:pPr>
        <w:spacing w:after="120" w:before="80"/>
      </w:pPr>
      <w:r>
        <w:rPr>
          <w:rFonts w:ascii="Arial" w:cs="Arial" w:eastAsia="Arial" w:hAnsi="Arial"/>
          <w:b w:val="false"/>
          <w:bCs w:val="false"/>
          <w:i w:val="false"/>
          <w:iCs w:val="false"/>
          <w:color w:val="222222"/>
          <w:sz w:val="20"/>
          <w:szCs w:val="20"/>
        </w:rPr>
        <w:t xml:space="preserve">Seeds that fall outside the peritumoral mask after grid placement are discarded. The result is approximately K seed points distributed throughout the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4"/>
              <w:left w:val="single" w:color="1A6B2F" w:sz="20"/>
              <w:bottom w:val="single" w:color="C8C8C8" w:sz="4"/>
              <w:right w:val="single" w:color="C8C8C8" w:sz="4"/>
            </w:tcBorders>
            <w:shd w:fill="E2F4E8" w:val="clear"/>
            <w:tcMar>
              <w:top w:type="dxa" w:w="120"/>
              <w:left w:type="dxa" w:w="280"/>
              <w:bottom w:type="dxa" w:w="120"/>
              <w:right w:type="dxa" w:w="200"/>
            </w:tcMar>
          </w:tcPr>
          <w:p>
            <w:pPr>
              <w:spacing w:after="60" w:before="0"/>
            </w:pPr>
            <w:r>
              <w:rPr>
                <w:rFonts w:ascii="Arial" w:cs="Arial" w:eastAsia="Arial" w:hAnsi="Arial"/>
                <w:b/>
                <w:bCs/>
                <w:i w:val="false"/>
                <w:iCs w:val="false"/>
                <w:color w:val="1A6B2F"/>
                <w:sz w:val="19"/>
                <w:szCs w:val="19"/>
              </w:rPr>
              <w:t xml:space="preserve">Tip</w:t>
            </w:r>
          </w:p>
          <w:p>
            <w:pPr>
              <w:spacing w:after="0" w:before="0"/>
            </w:pPr>
            <w:r>
              <w:rPr>
                <w:rFonts w:ascii="Arial" w:cs="Arial" w:eastAsia="Arial" w:hAnsi="Arial"/>
                <w:b w:val="false"/>
                <w:bCs w:val="false"/>
                <w:i w:val="false"/>
                <w:iCs w:val="false"/>
                <w:color w:val="222222"/>
                <w:sz w:val="19"/>
                <w:szCs w:val="19"/>
              </w:rPr>
              <w:t xml:space="preserve">Think of pressing 100 pins evenly into the peritumoral annular region. Each pin marks the starting centre of one supervoxel cluster. Pins that land on the GTV or outside the region are removed before any iteration begins.</w:t>
            </w: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6.2  Standard SLIC distance metric</w:t>
      </w:r>
    </w:p>
    <w:p>
      <w:pPr>
        <w:spacing w:after="120" w:before="80"/>
      </w:pPr>
      <w:r>
        <w:rPr>
          <w:rFonts w:ascii="Arial" w:cs="Arial" w:eastAsia="Arial" w:hAnsi="Arial"/>
          <w:b w:val="false"/>
          <w:bCs w:val="false"/>
          <w:i w:val="false"/>
          <w:iCs w:val="false"/>
          <w:color w:val="222222"/>
          <w:sz w:val="20"/>
          <w:szCs w:val="20"/>
        </w:rPr>
        <w:t xml:space="preserve">Standard SLIC balances intensity similarity and spatial proximity using a </w:t>
      </w:r>
      <w:r>
        <w:rPr>
          <w:rFonts w:ascii="Arial" w:cs="Arial" w:eastAsia="Arial" w:hAnsi="Arial"/>
          <w:b/>
          <w:bCs/>
          <w:i w:val="false"/>
          <w:iCs w:val="false"/>
          <w:color w:val="222222"/>
          <w:sz w:val="20"/>
          <w:szCs w:val="20"/>
        </w:rPr>
        <w:t xml:space="preserve">fixed compactness parameter m</w:t>
      </w:r>
      <w:r>
        <w:rPr>
          <w:rFonts w:ascii="Arial" w:cs="Arial" w:eastAsia="Arial" w:hAnsi="Arial"/>
          <w:b w:val="false"/>
          <w:bCs w:val="false"/>
          <w:i w:val="false"/>
          <w:iCs w:val="false"/>
          <w:color w:val="222222"/>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6B" w:sz="6"/>
              <w:left w:val="single" w:color="0D6B6B" w:sz="14"/>
              <w:bottom w:val="none" w:color="FFFFFF" w:sz="0"/>
              <w:right w:val="single" w:color="C8C8C8" w:sz="4"/>
            </w:tcBorders>
            <w:shd w:fill="D4EEEE" w:val="clear"/>
            <w:tcMar>
              <w:top w:type="dxa" w:w="80"/>
              <w:left w:type="dxa" w:w="280"/>
              <w:bottom w:type="dxa" w:w="0"/>
              <w:right w:type="dxa" w:w="200"/>
            </w:tcMar>
          </w:tcPr>
          <w:p>
            <w:pPr>
              <w:spacing w:after="0" w:before="0"/>
            </w:pPr>
            <w:r>
              <w:rPr>
                <w:rFonts w:ascii="Arial" w:cs="Arial" w:eastAsia="Arial" w:hAnsi="Arial"/>
                <w:b/>
                <w:bCs/>
                <w:i w:val="false"/>
                <w:iCs w:val="false"/>
                <w:color w:val="0D6B6B"/>
                <w:sz w:val="17"/>
                <w:szCs w:val="17"/>
              </w:rPr>
              <w:t xml:space="preserve">Standard SLIC distance</w:t>
            </w:r>
          </w:p>
        </w:tc>
      </w:tr>
      <w:tr>
        <w:tc>
          <w:tcPr>
            <w:tcW w:type="dxa" w:w="9360"/>
            <w:tcBorders>
              <w:top w:val="none" w:color="FFFFFF" w:sz="0"/>
              <w:left w:val="single" w:color="0D6B6B" w:sz="14"/>
              <w:bottom w:val="none" w:color="FFFFFF" w:sz="0"/>
              <w:right w:val="single" w:color="C8C8C8" w:sz="4"/>
            </w:tcBorders>
            <w:shd w:fill="FFFFFF" w:val="clear"/>
            <w:tcMar>
              <w:top w:type="dxa" w:w="160"/>
              <w:left w:type="dxa" w:w="280"/>
              <w:bottom w:type="dxa" w:w="160"/>
              <w:right w:type="dxa" w:w="200"/>
            </w:tcMar>
          </w:tcPr>
          <w:p>
            <w:pPr>
              <w:spacing w:after="0" w:before="0"/>
              <w:jc w:val="center"/>
            </w:pPr>
            <w:r>
              <w:rPr>
                <w:rFonts w:ascii="Courier New" w:cs="Courier New" w:eastAsia="Courier New" w:hAnsi="Courier New"/>
                <w:b/>
                <w:bCs/>
                <w:i w:val="false"/>
                <w:iCs w:val="false"/>
                <w:color w:val="1B3A6B"/>
                <w:sz w:val="21"/>
                <w:szCs w:val="21"/>
              </w:rPr>
              <w:t xml:space="preserve">D  =  √[  d_I²  +  (m / S)² × d_s²  ]</w:t>
            </w:r>
          </w:p>
        </w:tc>
      </w:tr>
      <w:tr>
        <w:tc>
          <w:tcPr>
            <w:tcW w:type="dxa" w:w="9360"/>
            <w:tcBorders>
              <w:top w:val="none" w:color="FFFFFF" w:sz="0"/>
              <w:left w:val="single" w:color="0D6B6B" w:sz="14"/>
              <w:bottom w:val="single" w:color="0D6B6B" w:sz="6"/>
              <w:right w:val="single" w:color="C8C8C8" w:sz="4"/>
            </w:tcBorders>
            <w:shd w:fill="D4EEEE" w:val="clear"/>
            <w:tcMar>
              <w:top w:type="dxa" w:w="80"/>
              <w:left w:type="dxa" w:w="280"/>
              <w:bottom w:type="dxa" w:w="80"/>
              <w:right w:type="dxa" w:w="200"/>
            </w:tcMar>
          </w:tcPr>
          <w:p>
            <w:pPr>
              <w:spacing w:after="0" w:before="0"/>
            </w:pPr>
            <w:r>
              <w:rPr>
                <w:rFonts w:ascii="Courier New" w:cs="Courier New" w:eastAsia="Courier New" w:hAnsi="Courier New"/>
                <w:b/>
                <w:bCs/>
                <w:i w:val="false"/>
                <w:iCs w:val="false"/>
                <w:color w:val="0D6B6B"/>
                <w:sz w:val="17"/>
                <w:szCs w:val="17"/>
              </w:rPr>
              <w:t xml:space="preserve">d_I</w:t>
            </w:r>
            <w:r>
              <w:rPr>
                <w:rFonts w:ascii="Arial" w:cs="Arial" w:eastAsia="Arial" w:hAnsi="Arial"/>
                <w:b w:val="false"/>
                <w:bCs w:val="false"/>
                <w:i w:val="false"/>
                <w:iCs w:val="false"/>
                <w:color w:val="222222"/>
                <w:sz w:val="17"/>
                <w:szCs w:val="17"/>
              </w:rPr>
              <w:t xml:space="preserve">  —  intensity distance = | I(voxel) − I(centre) |</w:t>
            </w:r>
          </w:p>
          <w:p>
            <w:pPr>
              <w:spacing w:after="0" w:before="0"/>
            </w:pPr>
            <w:r>
              <w:rPr>
                <w:rFonts w:ascii="Courier New" w:cs="Courier New" w:eastAsia="Courier New" w:hAnsi="Courier New"/>
                <w:b/>
                <w:bCs/>
                <w:i w:val="false"/>
                <w:iCs w:val="false"/>
                <w:color w:val="0D6B6B"/>
                <w:sz w:val="17"/>
                <w:szCs w:val="17"/>
              </w:rPr>
              <w:t xml:space="preserve">d_s</w:t>
            </w:r>
            <w:r>
              <w:rPr>
                <w:rFonts w:ascii="Arial" w:cs="Arial" w:eastAsia="Arial" w:hAnsi="Arial"/>
                <w:b w:val="false"/>
                <w:bCs w:val="false"/>
                <w:i w:val="false"/>
                <w:iCs w:val="false"/>
                <w:color w:val="222222"/>
                <w:sz w:val="17"/>
                <w:szCs w:val="17"/>
              </w:rPr>
              <w:t xml:space="preserve">  —  spatial distance   = √(Δz² + Δy² + Δx²)</w:t>
            </w:r>
          </w:p>
          <w:p>
            <w:pPr>
              <w:spacing w:after="0" w:before="0"/>
            </w:pPr>
            <w:r>
              <w:rPr>
                <w:rFonts w:ascii="Courier New" w:cs="Courier New" w:eastAsia="Courier New" w:hAnsi="Courier New"/>
                <w:b/>
                <w:bCs/>
                <w:i w:val="false"/>
                <w:iCs w:val="false"/>
                <w:color w:val="0D6B6B"/>
                <w:sz w:val="17"/>
                <w:szCs w:val="17"/>
              </w:rPr>
              <w:t xml:space="preserve">m</w:t>
            </w:r>
            <w:r>
              <w:rPr>
                <w:rFonts w:ascii="Arial" w:cs="Arial" w:eastAsia="Arial" w:hAnsi="Arial"/>
                <w:b w:val="false"/>
                <w:bCs w:val="false"/>
                <w:i w:val="false"/>
                <w:iCs w:val="false"/>
                <w:color w:val="222222"/>
                <w:sz w:val="17"/>
                <w:szCs w:val="17"/>
              </w:rPr>
              <w:t xml:space="preserve">  —  compactness parameter — fixed global value (higher m = more spherical clusters)</w:t>
            </w:r>
          </w:p>
          <w:p>
            <w:pPr>
              <w:spacing w:after="0" w:before="0"/>
            </w:pPr>
            <w:r>
              <w:rPr>
                <w:rFonts w:ascii="Courier New" w:cs="Courier New" w:eastAsia="Courier New" w:hAnsi="Courier New"/>
                <w:b/>
                <w:bCs/>
                <w:i w:val="false"/>
                <w:iCs w:val="false"/>
                <w:color w:val="0D6B6B"/>
                <w:sz w:val="17"/>
                <w:szCs w:val="17"/>
              </w:rPr>
              <w:t xml:space="preserve">S</w:t>
            </w:r>
            <w:r>
              <w:rPr>
                <w:rFonts w:ascii="Arial" w:cs="Arial" w:eastAsia="Arial" w:hAnsi="Arial"/>
                <w:b w:val="false"/>
                <w:bCs w:val="false"/>
                <w:i w:val="false"/>
                <w:iCs w:val="false"/>
                <w:color w:val="222222"/>
                <w:sz w:val="17"/>
                <w:szCs w:val="17"/>
              </w:rPr>
              <w:t xml:space="preserve">  —  grid spacing (normalises spatial distance to the cluster scale)</w:t>
            </w:r>
          </w:p>
        </w:tc>
      </w:tr>
    </w:tbl>
    <w:p>
      <w:pPr>
        <w:spacing w:after="120" w:before="80"/>
      </w:pPr>
      <w:r>
        <w:rPr>
          <w:rFonts w:ascii="Arial" w:cs="Arial" w:eastAsia="Arial" w:hAnsi="Arial"/>
          <w:b w:val="false"/>
          <w:bCs w:val="false"/>
          <w:i w:val="false"/>
          <w:iCs w:val="false"/>
          <w:color w:val="222222"/>
          <w:sz w:val="20"/>
          <w:szCs w:val="20"/>
        </w:rPr>
        <w:t xml:space="preserve">The ratio </w:t>
      </w:r>
      <w:r>
        <w:rPr>
          <w:rFonts w:ascii="Courier New" w:cs="Courier New" w:eastAsia="Courier New" w:hAnsi="Courier New"/>
          <w:b w:val="false"/>
          <w:bCs w:val="false"/>
          <w:i w:val="false"/>
          <w:iCs w:val="false"/>
          <w:color w:val="B84800"/>
          <w:sz w:val="18"/>
          <w:szCs w:val="18"/>
        </w:rPr>
        <w:t xml:space="preserve">m / S</w:t>
      </w:r>
      <w:r>
        <w:rPr>
          <w:rFonts w:ascii="Arial" w:cs="Arial" w:eastAsia="Arial" w:hAnsi="Arial"/>
          <w:b w:val="false"/>
          <w:bCs w:val="false"/>
          <w:i w:val="false"/>
          <w:iCs w:val="false"/>
          <w:color w:val="222222"/>
          <w:sz w:val="20"/>
          <w:szCs w:val="20"/>
        </w:rPr>
        <w:t xml:space="preserve"> controls the trade-off: large m produces compact, sphere-like supervoxels; small m produces irregular supervoxels that follow intensity edges. The fundamental problem is that </w:t>
      </w:r>
      <w:r>
        <w:rPr>
          <w:rFonts w:ascii="Arial" w:cs="Arial" w:eastAsia="Arial" w:hAnsi="Arial"/>
          <w:b w:val="false"/>
          <w:bCs w:val="false"/>
          <w:i/>
          <w:iCs/>
          <w:color w:val="222222"/>
          <w:sz w:val="20"/>
          <w:szCs w:val="20"/>
        </w:rPr>
        <w:t xml:space="preserve">a single global m cannot suit all tissue types simultaneously</w:t>
      </w:r>
      <w:r>
        <w:rPr>
          <w:rFonts w:ascii="Arial" w:cs="Arial" w:eastAsia="Arial" w:hAnsi="Arial"/>
          <w:b w:val="false"/>
          <w:bCs w:val="false"/>
          <w:i w:val="false"/>
          <w:iCs w:val="false"/>
          <w:color w:val="222222"/>
          <w:sz w:val="20"/>
          <w:szCs w:val="20"/>
        </w:rPr>
        <w:t xml:space="preserve"> — fat, muscle, and tumour margin each have different optimal compactness.</w:t>
      </w:r>
    </w:p>
    <w:p>
      <w:pPr>
        <w:spacing w:after="0" w:before="0"/>
      </w:pPr>
    </w:p>
    <w:p>
      <w:pPr>
        <w:pStyle w:val="Heading2"/>
        <w:spacing w:after="60" w:before="300"/>
      </w:pPr>
      <w:r>
        <w:rPr>
          <w:rFonts w:ascii="Arial" w:cs="Arial" w:eastAsia="Arial" w:hAnsi="Arial"/>
          <w:b/>
          <w:bCs/>
          <w:i w:val="false"/>
          <w:iCs w:val="false"/>
          <w:color w:val="0D6B6B"/>
          <w:sz w:val="23"/>
          <w:szCs w:val="23"/>
        </w:rPr>
        <w:t xml:space="preserve">6.3  SLIC-zero — adaptive compactness (the zero-parameter innovation)</w:t>
      </w:r>
    </w:p>
    <w:p>
      <w:pPr>
        <w:spacing w:after="120" w:before="80"/>
      </w:pPr>
      <w:r>
        <w:rPr>
          <w:rFonts w:ascii="Arial" w:cs="Arial" w:eastAsia="Arial" w:hAnsi="Arial"/>
          <w:b w:val="false"/>
          <w:bCs w:val="false"/>
          <w:i w:val="false"/>
          <w:iCs w:val="false"/>
          <w:color w:val="222222"/>
          <w:sz w:val="20"/>
          <w:szCs w:val="20"/>
        </w:rPr>
        <w:t xml:space="preserve">SLIC-zero eliminates the fixed m parameter entirely. Instead, the compactness is computed </w:t>
      </w:r>
      <w:r>
        <w:rPr>
          <w:rFonts w:ascii="Arial" w:cs="Arial" w:eastAsia="Arial" w:hAnsi="Arial"/>
          <w:b/>
          <w:bCs/>
          <w:i w:val="false"/>
          <w:iCs w:val="false"/>
          <w:color w:val="222222"/>
          <w:sz w:val="20"/>
          <w:szCs w:val="20"/>
        </w:rPr>
        <w:t xml:space="preserve">per cluster, per iteration</w:t>
      </w:r>
      <w:r>
        <w:rPr>
          <w:rFonts w:ascii="Arial" w:cs="Arial" w:eastAsia="Arial" w:hAnsi="Arial"/>
          <w:b w:val="false"/>
          <w:bCs w:val="false"/>
          <w:i w:val="false"/>
          <w:iCs w:val="false"/>
          <w:color w:val="222222"/>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6B" w:sz="6"/>
              <w:left w:val="single" w:color="0D6B6B" w:sz="14"/>
              <w:bottom w:val="none" w:color="FFFFFF" w:sz="0"/>
              <w:right w:val="single" w:color="C8C8C8" w:sz="4"/>
            </w:tcBorders>
            <w:shd w:fill="D4EEEE" w:val="clear"/>
            <w:tcMar>
              <w:top w:type="dxa" w:w="80"/>
              <w:left w:type="dxa" w:w="280"/>
              <w:bottom w:type="dxa" w:w="0"/>
              <w:right w:type="dxa" w:w="200"/>
            </w:tcMar>
          </w:tcPr>
          <w:p>
            <w:pPr>
              <w:spacing w:after="0" w:before="0"/>
            </w:pPr>
            <w:r>
              <w:rPr>
                <w:rFonts w:ascii="Arial" w:cs="Arial" w:eastAsia="Arial" w:hAnsi="Arial"/>
                <w:b/>
                <w:bCs/>
                <w:i w:val="false"/>
                <w:iCs w:val="false"/>
                <w:color w:val="0D6B6B"/>
                <w:sz w:val="17"/>
                <w:szCs w:val="17"/>
              </w:rPr>
              <w:t xml:space="preserve">Adaptive compactness per cluster</w:t>
            </w:r>
          </w:p>
        </w:tc>
      </w:tr>
      <w:tr>
        <w:tc>
          <w:tcPr>
            <w:tcW w:type="dxa" w:w="9360"/>
            <w:tcBorders>
              <w:top w:val="none" w:color="FFFFFF" w:sz="0"/>
              <w:left w:val="single" w:color="0D6B6B" w:sz="14"/>
              <w:bottom w:val="none" w:color="FFFFFF" w:sz="0"/>
              <w:right w:val="single" w:color="C8C8C8" w:sz="4"/>
            </w:tcBorders>
            <w:shd w:fill="FFFFFF" w:val="clear"/>
            <w:tcMar>
              <w:top w:type="dxa" w:w="160"/>
              <w:left w:type="dxa" w:w="280"/>
              <w:bottom w:type="dxa" w:w="160"/>
              <w:right w:type="dxa" w:w="200"/>
            </w:tcMar>
          </w:tcPr>
          <w:p>
            <w:pPr>
              <w:spacing w:after="0" w:before="0"/>
              <w:jc w:val="center"/>
            </w:pPr>
            <w:r>
              <w:rPr>
                <w:rFonts w:ascii="Courier New" w:cs="Courier New" w:eastAsia="Courier New" w:hAnsi="Courier New"/>
                <w:b/>
                <w:bCs/>
                <w:i w:val="false"/>
                <w:iCs w:val="false"/>
                <w:color w:val="1B3A6B"/>
                <w:sz w:val="21"/>
                <w:szCs w:val="21"/>
              </w:rPr>
              <w:t xml:space="preserve">m_k  =  max{  d_I(v, c_k)  :  v ∈ cluster k  }</w:t>
            </w:r>
          </w:p>
        </w:tc>
      </w:tr>
      <w:tr>
        <w:tc>
          <w:tcPr>
            <w:tcW w:type="dxa" w:w="9360"/>
            <w:tcBorders>
              <w:top w:val="none" w:color="FFFFFF" w:sz="0"/>
              <w:left w:val="single" w:color="0D6B6B" w:sz="14"/>
              <w:bottom w:val="single" w:color="0D6B6B" w:sz="6"/>
              <w:right w:val="single" w:color="C8C8C8" w:sz="4"/>
            </w:tcBorders>
            <w:shd w:fill="D4EEEE" w:val="clear"/>
            <w:tcMar>
              <w:top w:type="dxa" w:w="80"/>
              <w:left w:type="dxa" w:w="280"/>
              <w:bottom w:type="dxa" w:w="80"/>
              <w:right w:type="dxa" w:w="200"/>
            </w:tcMar>
          </w:tcPr>
          <w:p>
            <w:pPr>
              <w:spacing w:after="0" w:before="0"/>
            </w:pPr>
            <w:r>
              <w:rPr>
                <w:rFonts w:ascii="Courier New" w:cs="Courier New" w:eastAsia="Courier New" w:hAnsi="Courier New"/>
                <w:b/>
                <w:bCs/>
                <w:i w:val="false"/>
                <w:iCs w:val="false"/>
                <w:color w:val="0D6B6B"/>
                <w:sz w:val="17"/>
                <w:szCs w:val="17"/>
              </w:rPr>
              <w:t xml:space="preserve">m_k</w:t>
            </w:r>
            <w:r>
              <w:rPr>
                <w:rFonts w:ascii="Arial" w:cs="Arial" w:eastAsia="Arial" w:hAnsi="Arial"/>
                <w:b w:val="false"/>
                <w:bCs w:val="false"/>
                <w:i w:val="false"/>
                <w:iCs w:val="false"/>
                <w:color w:val="222222"/>
                <w:sz w:val="17"/>
                <w:szCs w:val="17"/>
              </w:rPr>
              <w:t xml:space="preserve">  —  compactness for cluster k — equals the maximum intensity variation observed within cluster k</w:t>
            </w:r>
          </w:p>
          <w:p>
            <w:pPr>
              <w:spacing w:after="0" w:before="0"/>
            </w:pPr>
            <w:r>
              <w:rPr>
                <w:rFonts w:ascii="Courier New" w:cs="Courier New" w:eastAsia="Courier New" w:hAnsi="Courier New"/>
                <w:b/>
                <w:bCs/>
                <w:i w:val="false"/>
                <w:iCs w:val="false"/>
                <w:color w:val="0D6B6B"/>
                <w:sz w:val="17"/>
                <w:szCs w:val="17"/>
              </w:rPr>
              <w:t xml:space="preserve">d_I(v, c_k)</w:t>
            </w:r>
            <w:r>
              <w:rPr>
                <w:rFonts w:ascii="Arial" w:cs="Arial" w:eastAsia="Arial" w:hAnsi="Arial"/>
                <w:b w:val="false"/>
                <w:bCs w:val="false"/>
                <w:i w:val="false"/>
                <w:iCs w:val="false"/>
                <w:color w:val="222222"/>
                <w:sz w:val="17"/>
                <w:szCs w:val="17"/>
              </w:rPr>
              <w:t xml:space="preserve">  —  intensity distance between voxel v and cluster centre c_k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6B" w:sz="6"/>
              <w:left w:val="single" w:color="0D6B6B" w:sz="14"/>
              <w:bottom w:val="none" w:color="FFFFFF" w:sz="0"/>
              <w:right w:val="single" w:color="C8C8C8" w:sz="4"/>
            </w:tcBorders>
            <w:shd w:fill="D4EEEE" w:val="clear"/>
            <w:tcMar>
              <w:top w:type="dxa" w:w="80"/>
              <w:left w:type="dxa" w:w="280"/>
              <w:bottom w:type="dxa" w:w="0"/>
              <w:right w:type="dxa" w:w="200"/>
            </w:tcMar>
          </w:tcPr>
          <w:p>
            <w:pPr>
              <w:spacing w:after="0" w:before="0"/>
            </w:pPr>
            <w:r>
              <w:rPr>
                <w:rFonts w:ascii="Arial" w:cs="Arial" w:eastAsia="Arial" w:hAnsi="Arial"/>
                <w:b/>
                <w:bCs/>
                <w:i w:val="false"/>
                <w:iCs w:val="false"/>
                <w:color w:val="0D6B6B"/>
                <w:sz w:val="17"/>
                <w:szCs w:val="17"/>
              </w:rPr>
              <w:t xml:space="preserve">SLIC-zero distance (replaces standard SLIC distance)</w:t>
            </w:r>
          </w:p>
        </w:tc>
      </w:tr>
      <w:tr>
        <w:tc>
          <w:tcPr>
            <w:tcW w:type="dxa" w:w="9360"/>
            <w:tcBorders>
              <w:top w:val="none" w:color="FFFFFF" w:sz="0"/>
              <w:left w:val="single" w:color="0D6B6B" w:sz="14"/>
              <w:bottom w:val="none" w:color="FFFFFF" w:sz="0"/>
              <w:right w:val="single" w:color="C8C8C8" w:sz="4"/>
            </w:tcBorders>
            <w:shd w:fill="FFFFFF" w:val="clear"/>
            <w:tcMar>
              <w:top w:type="dxa" w:w="160"/>
              <w:left w:type="dxa" w:w="280"/>
              <w:bottom w:type="dxa" w:w="160"/>
              <w:right w:type="dxa" w:w="200"/>
            </w:tcMar>
          </w:tcPr>
          <w:p>
            <w:pPr>
              <w:spacing w:after="0" w:before="0"/>
              <w:jc w:val="center"/>
            </w:pPr>
            <w:r>
              <w:rPr>
                <w:rFonts w:ascii="Courier New" w:cs="Courier New" w:eastAsia="Courier New" w:hAnsi="Courier New"/>
                <w:b/>
                <w:bCs/>
                <w:i w:val="false"/>
                <w:iCs w:val="false"/>
                <w:color w:val="1B3A6B"/>
                <w:sz w:val="21"/>
                <w:szCs w:val="21"/>
              </w:rPr>
              <w:t xml:space="preserve">D_k  =  √[  d_I²  +  (m_k / S)² × d_s²  ]</w:t>
            </w:r>
          </w:p>
        </w:tc>
      </w:tr>
      <w:tr>
        <w:tc>
          <w:tcPr>
            <w:tcW w:type="dxa" w:w="9360"/>
            <w:tcBorders>
              <w:top w:val="none" w:color="FFFFFF" w:sz="0"/>
              <w:left w:val="single" w:color="0D6B6B" w:sz="14"/>
              <w:bottom w:val="single" w:color="0D6B6B" w:sz="6"/>
              <w:right w:val="single" w:color="C8C8C8" w:sz="4"/>
            </w:tcBorders>
            <w:shd w:fill="D4EEEE" w:val="clear"/>
            <w:tcMar>
              <w:top w:type="dxa" w:w="80"/>
              <w:left w:type="dxa" w:w="280"/>
              <w:bottom w:type="dxa" w:w="80"/>
              <w:right w:type="dxa" w:w="200"/>
            </w:tcMar>
          </w:tcPr>
          <w:p>
            <w:pPr>
              <w:spacing w:after="0" w:before="0"/>
            </w:pPr>
            <w:r>
              <w:rPr>
                <w:rFonts w:ascii="Courier New" w:cs="Courier New" w:eastAsia="Courier New" w:hAnsi="Courier New"/>
                <w:b/>
                <w:bCs/>
                <w:i w:val="false"/>
                <w:iCs w:val="false"/>
                <w:color w:val="0D6B6B"/>
                <w:sz w:val="17"/>
                <w:szCs w:val="17"/>
              </w:rPr>
              <w:t xml:space="preserve">m_k</w:t>
            </w:r>
            <w:r>
              <w:rPr>
                <w:rFonts w:ascii="Arial" w:cs="Arial" w:eastAsia="Arial" w:hAnsi="Arial"/>
                <w:b w:val="false"/>
                <w:bCs w:val="false"/>
                <w:i w:val="false"/>
                <w:iCs w:val="false"/>
                <w:color w:val="222222"/>
                <w:sz w:val="17"/>
                <w:szCs w:val="17"/>
              </w:rPr>
              <w:t xml:space="preserve">  —  recomputed every iteration as cluster membership evolves</w:t>
            </w:r>
          </w:p>
          <w:p>
            <w:pPr>
              <w:spacing w:after="0" w:before="0"/>
            </w:pPr>
            <w:r>
              <w:rPr>
                <w:rFonts w:ascii="Courier New" w:cs="Courier New" w:eastAsia="Courier New" w:hAnsi="Courier New"/>
                <w:b/>
                <w:bCs/>
                <w:i w:val="false"/>
                <w:iCs w:val="false"/>
                <w:color w:val="0D6B6B"/>
                <w:sz w:val="17"/>
                <w:szCs w:val="17"/>
              </w:rPr>
              <w:t xml:space="preserve">D_k</w:t>
            </w:r>
            <w:r>
              <w:rPr>
                <w:rFonts w:ascii="Arial" w:cs="Arial" w:eastAsia="Arial" w:hAnsi="Arial"/>
                <w:b w:val="false"/>
                <w:bCs w:val="false"/>
                <w:i w:val="false"/>
                <w:iCs w:val="false"/>
                <w:color w:val="222222"/>
                <w:sz w:val="17"/>
                <w:szCs w:val="17"/>
              </w:rPr>
              <w:t xml:space="preserve">  —  cluster-specific distance — different clusters may have very different m_k</w:t>
            </w:r>
          </w:p>
        </w:tc>
      </w:tr>
    </w:tbl>
    <w:p>
      <w:pPr>
        <w:spacing w:after="120" w:before="80"/>
      </w:pPr>
      <w:r>
        <w:rPr>
          <w:rFonts w:ascii="Arial" w:cs="Arial" w:eastAsia="Arial" w:hAnsi="Arial"/>
          <w:b w:val="false"/>
          <w:bCs w:val="false"/>
          <w:i w:val="false"/>
          <w:iCs w:val="false"/>
          <w:color w:val="222222"/>
          <w:sz w:val="20"/>
          <w:szCs w:val="20"/>
        </w:rPr>
        <w:t xml:space="preserve">The effect is intuitive: in a homogeneous region such as fat, all voxels within a cluster have similar intensity, so m_k is small, and the distance formula weights </w:t>
      </w:r>
      <w:r>
        <w:rPr>
          <w:rFonts w:ascii="Arial" w:cs="Arial" w:eastAsia="Arial" w:hAnsi="Arial"/>
          <w:b/>
          <w:bCs/>
          <w:i w:val="false"/>
          <w:iCs w:val="false"/>
          <w:color w:val="222222"/>
          <w:sz w:val="20"/>
          <w:szCs w:val="20"/>
        </w:rPr>
        <w:t xml:space="preserve">spatial proximity heavily</w:t>
      </w:r>
      <w:r>
        <w:rPr>
          <w:rFonts w:ascii="Arial" w:cs="Arial" w:eastAsia="Arial" w:hAnsi="Arial"/>
          <w:b w:val="false"/>
          <w:bCs w:val="false"/>
          <w:i w:val="false"/>
          <w:iCs w:val="false"/>
          <w:color w:val="222222"/>
          <w:sz w:val="20"/>
          <w:szCs w:val="20"/>
        </w:rPr>
        <w:t xml:space="preserve"> — producing compact, sphere-like supervoxels. In a heterogeneous region such as a tumour margin, m_k is large, and the formula weights </w:t>
      </w:r>
      <w:r>
        <w:rPr>
          <w:rFonts w:ascii="Arial" w:cs="Arial" w:eastAsia="Arial" w:hAnsi="Arial"/>
          <w:b/>
          <w:bCs/>
          <w:i w:val="false"/>
          <w:iCs w:val="false"/>
          <w:color w:val="222222"/>
          <w:sz w:val="20"/>
          <w:szCs w:val="20"/>
        </w:rPr>
        <w:t xml:space="preserve">intensity similarity more</w:t>
      </w:r>
      <w:r>
        <w:rPr>
          <w:rFonts w:ascii="Arial" w:cs="Arial" w:eastAsia="Arial" w:hAnsi="Arial"/>
          <w:b w:val="false"/>
          <w:bCs w:val="false"/>
          <w:i w:val="false"/>
          <w:iCs w:val="false"/>
          <w:color w:val="222222"/>
          <w:sz w:val="20"/>
          <w:szCs w:val="20"/>
        </w:rPr>
        <w:t xml:space="preserve"> — producing irregular supervoxels that follow tissue boundaries. No parameter tuning is needed. This is why the algorithm is called </w:t>
      </w:r>
      <w:r>
        <w:rPr>
          <w:rFonts w:ascii="Arial" w:cs="Arial" w:eastAsia="Arial" w:hAnsi="Arial"/>
          <w:b/>
          <w:bCs/>
          <w:i w:val="false"/>
          <w:iCs w:val="false"/>
          <w:color w:val="222222"/>
          <w:sz w:val="20"/>
          <w:szCs w:val="20"/>
        </w:rPr>
        <w:t xml:space="preserve">zero-parameter</w:t>
      </w:r>
      <w:r>
        <w:rPr>
          <w:rFonts w:ascii="Arial" w:cs="Arial" w:eastAsia="Arial" w:hAnsi="Arial"/>
          <w:b w:val="false"/>
          <w:bCs w:val="false"/>
          <w:i w:val="false"/>
          <w:iCs w:val="false"/>
          <w:color w:val="222222"/>
          <w:sz w:val="20"/>
          <w:szCs w:val="20"/>
        </w:rPr>
        <w:t xml:space="preserv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Component</w:t>
            </w:r>
          </w:p>
        </w:tc>
        <w:tc>
          <w:tcPr>
            <w:tcW w:type="dxa" w:w="32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Formula</w:t>
            </w:r>
          </w:p>
        </w:tc>
        <w:tc>
          <w:tcPr>
            <w:tcW w:type="dxa" w:w="39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Meaning</w:t>
            </w:r>
          </w:p>
        </w:tc>
      </w:tr>
      <w:tr>
        <w:tc>
          <w:tcPr>
            <w:tcW w:type="dxa" w:w="22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Intensity distance d_I</w:t>
            </w:r>
          </w:p>
        </w:tc>
        <w:tc>
          <w:tcPr>
            <w:tcW w:type="dxa" w:w="32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 I(v) − I(c_k) |</w:t>
            </w:r>
          </w:p>
        </w:tc>
        <w:tc>
          <w:tcPr>
            <w:tcW w:type="dxa" w:w="39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How different this voxel’s HU is from its cluster centre</w:t>
            </w:r>
          </w:p>
        </w:tc>
      </w:tr>
      <w:tr>
        <w:tc>
          <w:tcPr>
            <w:tcW w:type="dxa" w:w="22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Spatial distance d_s</w:t>
            </w:r>
          </w:p>
        </w:tc>
        <w:tc>
          <w:tcPr>
            <w:tcW w:type="dxa" w:w="32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√(Δz² + Δy² + Δx²)</w:t>
            </w:r>
          </w:p>
        </w:tc>
        <w:tc>
          <w:tcPr>
            <w:tcW w:type="dxa" w:w="39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Physical voxel distance between voxel v and cluster centre c_k</w:t>
            </w:r>
          </w:p>
        </w:tc>
      </w:tr>
      <w:tr>
        <w:tc>
          <w:tcPr>
            <w:tcW w:type="dxa" w:w="22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bCs/>
                <w:i w:val="false"/>
                <w:iCs w:val="false"/>
                <w:color w:val="222222"/>
                <w:sz w:val="18"/>
                <w:szCs w:val="18"/>
              </w:rPr>
              <w:t xml:space="preserve">Adaptive weight m_k</w:t>
            </w:r>
          </w:p>
        </w:tc>
        <w:tc>
          <w:tcPr>
            <w:tcW w:type="dxa" w:w="32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bCs/>
                <w:i w:val="false"/>
                <w:iCs w:val="false"/>
                <w:color w:val="222222"/>
                <w:sz w:val="18"/>
                <w:szCs w:val="18"/>
              </w:rPr>
              <w:t xml:space="preserve">max( d_I ) within cluster k</w:t>
            </w:r>
          </w:p>
        </w:tc>
        <w:tc>
          <w:tcPr>
            <w:tcW w:type="dxa" w:w="39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bCs/>
                <w:i w:val="false"/>
                <w:iCs w:val="false"/>
                <w:color w:val="222222"/>
                <w:sz w:val="18"/>
                <w:szCs w:val="18"/>
              </w:rPr>
              <w:t xml:space="preserve">Scales with local intensity variance — larger in heterogeneous regions</w:t>
            </w:r>
          </w:p>
        </w:tc>
      </w:tr>
      <w:tr>
        <w:tc>
          <w:tcPr>
            <w:tcW w:type="dxa" w:w="22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bCs/>
                <w:i w:val="false"/>
                <w:iCs w:val="false"/>
                <w:color w:val="222222"/>
                <w:sz w:val="18"/>
                <w:szCs w:val="18"/>
              </w:rPr>
              <w:t xml:space="preserve">Combined distance D_k</w:t>
            </w:r>
          </w:p>
        </w:tc>
        <w:tc>
          <w:tcPr>
            <w:tcW w:type="dxa" w:w="32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bCs/>
                <w:i w:val="false"/>
                <w:iCs w:val="false"/>
                <w:color w:val="222222"/>
                <w:sz w:val="18"/>
                <w:szCs w:val="18"/>
              </w:rPr>
              <w:t xml:space="preserve">√[ d_I² + (m_k/S)² × d_s² ]</w:t>
            </w:r>
          </w:p>
        </w:tc>
        <w:tc>
          <w:tcPr>
            <w:tcW w:type="dxa" w:w="39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bCs/>
                <w:i w:val="false"/>
                <w:iCs w:val="false"/>
                <w:color w:val="222222"/>
                <w:sz w:val="18"/>
                <w:szCs w:val="18"/>
              </w:rPr>
              <w:t xml:space="preserve">Final distance used to assign each voxel to a cluster</w:t>
            </w: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6.4  Local search window — why SLIC is O(N)</w:t>
      </w:r>
    </w:p>
    <w:p>
      <w:pPr>
        <w:spacing w:after="120" w:before="80"/>
      </w:pPr>
      <w:r>
        <w:rPr>
          <w:rFonts w:ascii="Arial" w:cs="Arial" w:eastAsia="Arial" w:hAnsi="Arial"/>
          <w:b w:val="false"/>
          <w:bCs w:val="false"/>
          <w:i w:val="false"/>
          <w:iCs w:val="false"/>
          <w:color w:val="222222"/>
          <w:sz w:val="20"/>
          <w:szCs w:val="20"/>
        </w:rPr>
        <w:t xml:space="preserve">For each cluster centre, SLIC searches only a </w:t>
      </w:r>
      <w:r>
        <w:rPr>
          <w:rFonts w:ascii="Arial" w:cs="Arial" w:eastAsia="Arial" w:hAnsi="Arial"/>
          <w:b/>
          <w:bCs/>
          <w:i w:val="false"/>
          <w:iCs w:val="false"/>
          <w:color w:val="222222"/>
          <w:sz w:val="20"/>
          <w:szCs w:val="20"/>
        </w:rPr>
        <w:t xml:space="preserve">2S × 2S × 2S neighbourhood</w:t>
      </w:r>
      <w:r>
        <w:rPr>
          <w:rFonts w:ascii="Arial" w:cs="Arial" w:eastAsia="Arial" w:hAnsi="Arial"/>
          <w:b w:val="false"/>
          <w:bCs w:val="false"/>
          <w:i w:val="false"/>
          <w:iCs w:val="false"/>
          <w:color w:val="222222"/>
          <w:sz w:val="20"/>
          <w:szCs w:val="20"/>
        </w:rPr>
        <w:t xml:space="preserve"> rather than the full volume. Every voxel in this window is assigned to the cluster centre with minimum D_k.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4"/>
              <w:left w:val="single" w:color="1E5FA0" w:sz="20"/>
              <w:bottom w:val="single" w:color="C8C8C8" w:sz="4"/>
              <w:right w:val="single" w:color="C8C8C8" w:sz="4"/>
            </w:tcBorders>
            <w:shd w:fill="D6E8F7" w:val="clear"/>
            <w:tcMar>
              <w:top w:type="dxa" w:w="120"/>
              <w:left w:type="dxa" w:w="280"/>
              <w:bottom w:type="dxa" w:w="120"/>
              <w:right w:type="dxa" w:w="200"/>
            </w:tcMar>
          </w:tcPr>
          <w:p>
            <w:pPr>
              <w:spacing w:after="60" w:before="0"/>
            </w:pPr>
            <w:r>
              <w:rPr>
                <w:rFonts w:ascii="Arial" w:cs="Arial" w:eastAsia="Arial" w:hAnsi="Arial"/>
                <w:b/>
                <w:bCs/>
                <w:i w:val="false"/>
                <w:iCs w:val="false"/>
                <w:color w:val="1E5FA0"/>
                <w:sz w:val="19"/>
                <w:szCs w:val="19"/>
              </w:rPr>
              <w:t xml:space="preserve">Note</w:t>
            </w:r>
          </w:p>
          <w:p>
            <w:pPr>
              <w:spacing w:after="60" w:before="0"/>
            </w:pPr>
            <w:r>
              <w:rPr>
                <w:rFonts w:ascii="Arial" w:cs="Arial" w:eastAsia="Arial" w:hAnsi="Arial"/>
                <w:b/>
                <w:bCs/>
                <w:i w:val="false"/>
                <w:iCs w:val="false"/>
                <w:color w:val="1E5FA0"/>
                <w:sz w:val="20"/>
                <w:szCs w:val="20"/>
              </w:rPr>
              <w:t xml:space="preserve">Complexity advantage</w:t>
            </w:r>
          </w:p>
          <w:p>
            <w:pPr>
              <w:spacing w:after="0" w:before="0"/>
            </w:pPr>
            <w:r>
              <w:rPr>
                <w:rFonts w:ascii="Arial" w:cs="Arial" w:eastAsia="Arial" w:hAnsi="Arial"/>
                <w:b w:val="false"/>
                <w:bCs w:val="false"/>
                <w:i w:val="false"/>
                <w:iCs w:val="false"/>
                <w:color w:val="222222"/>
                <w:sz w:val="19"/>
                <w:szCs w:val="19"/>
              </w:rPr>
              <w:t xml:space="preserve">Standard k-means:  O(N × K) =  500,000 × 100 = 50,000,000 distance computations per iteration
SLIC local search:  O(N)           =  500,000 total — each voxel is compared to at most a few nearby centres
SLIC is approximately 100× faster than k-means for this problem size.</w:t>
            </w: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6.5  Centre update</w:t>
      </w:r>
    </w:p>
    <w:p>
      <w:pPr>
        <w:spacing w:after="120" w:before="80"/>
      </w:pPr>
      <w:r>
        <w:rPr>
          <w:rFonts w:ascii="Arial" w:cs="Arial" w:eastAsia="Arial" w:hAnsi="Arial"/>
          <w:b w:val="false"/>
          <w:bCs w:val="false"/>
          <w:i w:val="false"/>
          <w:iCs w:val="false"/>
          <w:color w:val="222222"/>
          <w:sz w:val="20"/>
          <w:szCs w:val="20"/>
        </w:rPr>
        <w:t xml:space="preserve">After all voxels are assigned, each cluster centre is recomputed as the mean position and intensity of all its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6B" w:sz="6"/>
              <w:left w:val="single" w:color="0D6B6B" w:sz="14"/>
              <w:bottom w:val="none" w:color="FFFFFF" w:sz="0"/>
              <w:right w:val="single" w:color="C8C8C8" w:sz="4"/>
            </w:tcBorders>
            <w:shd w:fill="D4EEEE" w:val="clear"/>
            <w:tcMar>
              <w:top w:type="dxa" w:w="80"/>
              <w:left w:type="dxa" w:w="280"/>
              <w:bottom w:type="dxa" w:w="0"/>
              <w:right w:type="dxa" w:w="200"/>
            </w:tcMar>
          </w:tcPr>
          <w:p>
            <w:pPr>
              <w:spacing w:after="0" w:before="0"/>
            </w:pPr>
            <w:r>
              <w:rPr>
                <w:rFonts w:ascii="Arial" w:cs="Arial" w:eastAsia="Arial" w:hAnsi="Arial"/>
                <w:b/>
                <w:bCs/>
                <w:i w:val="false"/>
                <w:iCs w:val="false"/>
                <w:color w:val="0D6B6B"/>
                <w:sz w:val="17"/>
                <w:szCs w:val="17"/>
              </w:rPr>
              <w:t xml:space="preserve">Centre update</w:t>
            </w:r>
          </w:p>
        </w:tc>
      </w:tr>
      <w:tr>
        <w:tc>
          <w:tcPr>
            <w:tcW w:type="dxa" w:w="9360"/>
            <w:tcBorders>
              <w:top w:val="none" w:color="FFFFFF" w:sz="0"/>
              <w:left w:val="single" w:color="0D6B6B" w:sz="14"/>
              <w:bottom w:val="none" w:color="FFFFFF" w:sz="0"/>
              <w:right w:val="single" w:color="C8C8C8" w:sz="4"/>
            </w:tcBorders>
            <w:shd w:fill="FFFFFF" w:val="clear"/>
            <w:tcMar>
              <w:top w:type="dxa" w:w="160"/>
              <w:left w:type="dxa" w:w="280"/>
              <w:bottom w:type="dxa" w:w="160"/>
              <w:right w:type="dxa" w:w="200"/>
            </w:tcMar>
          </w:tcPr>
          <w:p>
            <w:pPr>
              <w:spacing w:after="0" w:before="0"/>
              <w:jc w:val="center"/>
            </w:pPr>
            <w:r>
              <w:rPr>
                <w:rFonts w:ascii="Courier New" w:cs="Courier New" w:eastAsia="Courier New" w:hAnsi="Courier New"/>
                <w:b/>
                <w:bCs/>
                <w:i w:val="false"/>
                <w:iCs w:val="false"/>
                <w:color w:val="1B3A6B"/>
                <w:sz w:val="21"/>
                <w:szCs w:val="21"/>
              </w:rPr>
              <w:t xml:space="preserve">c_k  =  mean{  (z, y, x, I)  :  label(v) = k  }</w:t>
            </w:r>
          </w:p>
        </w:tc>
      </w:tr>
      <w:tr>
        <w:tc>
          <w:tcPr>
            <w:tcW w:type="dxa" w:w="9360"/>
            <w:tcBorders>
              <w:top w:val="none" w:color="FFFFFF" w:sz="0"/>
              <w:left w:val="single" w:color="0D6B6B" w:sz="14"/>
              <w:bottom w:val="single" w:color="0D6B6B" w:sz="6"/>
              <w:right w:val="single" w:color="C8C8C8" w:sz="4"/>
            </w:tcBorders>
            <w:shd w:fill="D4EEEE" w:val="clear"/>
            <w:tcMar>
              <w:top w:type="dxa" w:w="80"/>
              <w:left w:type="dxa" w:w="280"/>
              <w:bottom w:type="dxa" w:w="80"/>
              <w:right w:type="dxa" w:w="200"/>
            </w:tcMar>
          </w:tcPr>
          <w:p>
            <w:pPr>
              <w:spacing w:after="0" w:before="0"/>
            </w:pPr>
            <w:r>
              <w:rPr>
                <w:rFonts w:ascii="Courier New" w:cs="Courier New" w:eastAsia="Courier New" w:hAnsi="Courier New"/>
                <w:b/>
                <w:bCs/>
                <w:i w:val="false"/>
                <w:iCs w:val="false"/>
                <w:color w:val="0D6B6B"/>
                <w:sz w:val="17"/>
                <w:szCs w:val="17"/>
              </w:rPr>
              <w:t xml:space="preserve">c_k</w:t>
            </w:r>
            <w:r>
              <w:rPr>
                <w:rFonts w:ascii="Arial" w:cs="Arial" w:eastAsia="Arial" w:hAnsi="Arial"/>
                <w:b w:val="false"/>
                <w:bCs w:val="false"/>
                <w:i w:val="false"/>
                <w:iCs w:val="false"/>
                <w:color w:val="222222"/>
                <w:sz w:val="17"/>
                <w:szCs w:val="17"/>
              </w:rPr>
              <w:t xml:space="preserve">  —  new centre for cluster k — moves to the geometric and intensity centroid of all its assigned voxels</w:t>
            </w: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6.6  Convergence check</w:t>
      </w:r>
    </w:p>
    <w:p>
      <w:pPr>
        <w:spacing w:after="120" w:before="80"/>
      </w:pPr>
      <w:r>
        <w:rPr>
          <w:rFonts w:ascii="Arial" w:cs="Arial" w:eastAsia="Arial" w:hAnsi="Arial"/>
          <w:b w:val="false"/>
          <w:bCs w:val="false"/>
          <w:i w:val="false"/>
          <w:iCs w:val="false"/>
          <w:color w:val="222222"/>
          <w:sz w:val="20"/>
          <w:szCs w:val="20"/>
        </w:rPr>
        <w:t xml:space="preserve">Steps 6.4 and 6.5 repeat until the total displacement of all cluster centres falls below a threshold, or until the iteration limit is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6B" w:sz="6"/>
              <w:left w:val="single" w:color="0D6B6B" w:sz="14"/>
              <w:bottom w:val="none" w:color="FFFFFF" w:sz="0"/>
              <w:right w:val="single" w:color="C8C8C8" w:sz="4"/>
            </w:tcBorders>
            <w:shd w:fill="D4EEEE" w:val="clear"/>
            <w:tcMar>
              <w:top w:type="dxa" w:w="80"/>
              <w:left w:type="dxa" w:w="280"/>
              <w:bottom w:type="dxa" w:w="0"/>
              <w:right w:type="dxa" w:w="200"/>
            </w:tcMar>
          </w:tcPr>
          <w:p>
            <w:pPr>
              <w:spacing w:after="0" w:before="0"/>
            </w:pPr>
            <w:r>
              <w:rPr>
                <w:rFonts w:ascii="Arial" w:cs="Arial" w:eastAsia="Arial" w:hAnsi="Arial"/>
                <w:b/>
                <w:bCs/>
                <w:i w:val="false"/>
                <w:iCs w:val="false"/>
                <w:color w:val="0D6B6B"/>
                <w:sz w:val="17"/>
                <w:szCs w:val="17"/>
              </w:rPr>
              <w:t xml:space="preserve">Convergence criterion</w:t>
            </w:r>
          </w:p>
        </w:tc>
      </w:tr>
      <w:tr>
        <w:tc>
          <w:tcPr>
            <w:tcW w:type="dxa" w:w="9360"/>
            <w:tcBorders>
              <w:top w:val="none" w:color="FFFFFF" w:sz="0"/>
              <w:left w:val="single" w:color="0D6B6B" w:sz="14"/>
              <w:bottom w:val="none" w:color="FFFFFF" w:sz="0"/>
              <w:right w:val="single" w:color="C8C8C8" w:sz="4"/>
            </w:tcBorders>
            <w:shd w:fill="FFFFFF" w:val="clear"/>
            <w:tcMar>
              <w:top w:type="dxa" w:w="160"/>
              <w:left w:type="dxa" w:w="280"/>
              <w:bottom w:type="dxa" w:w="160"/>
              <w:right w:type="dxa" w:w="200"/>
            </w:tcMar>
          </w:tcPr>
          <w:p>
            <w:pPr>
              <w:spacing w:after="0" w:before="0"/>
              <w:jc w:val="center"/>
            </w:pPr>
            <w:r>
              <w:rPr>
                <w:rFonts w:ascii="Courier New" w:cs="Courier New" w:eastAsia="Courier New" w:hAnsi="Courier New"/>
                <w:b/>
                <w:bCs/>
                <w:i w:val="false"/>
                <w:iCs w:val="false"/>
                <w:color w:val="1B3A6B"/>
                <w:sz w:val="21"/>
                <w:szCs w:val="21"/>
              </w:rPr>
              <w:t xml:space="preserve">E  =  Σ_k  ||  c_k(t) − c_k(t−1)  ||  &lt;  ε</w:t>
            </w:r>
          </w:p>
        </w:tc>
      </w:tr>
      <w:tr>
        <w:tc>
          <w:tcPr>
            <w:tcW w:type="dxa" w:w="9360"/>
            <w:tcBorders>
              <w:top w:val="none" w:color="FFFFFF" w:sz="0"/>
              <w:left w:val="single" w:color="0D6B6B" w:sz="14"/>
              <w:bottom w:val="single" w:color="0D6B6B" w:sz="6"/>
              <w:right w:val="single" w:color="C8C8C8" w:sz="4"/>
            </w:tcBorders>
            <w:shd w:fill="D4EEEE" w:val="clear"/>
            <w:tcMar>
              <w:top w:type="dxa" w:w="80"/>
              <w:left w:type="dxa" w:w="280"/>
              <w:bottom w:type="dxa" w:w="80"/>
              <w:right w:type="dxa" w:w="200"/>
            </w:tcMar>
          </w:tcPr>
          <w:p>
            <w:pPr>
              <w:spacing w:after="0" w:before="0"/>
            </w:pPr>
            <w:r>
              <w:rPr>
                <w:rFonts w:ascii="Courier New" w:cs="Courier New" w:eastAsia="Courier New" w:hAnsi="Courier New"/>
                <w:b/>
                <w:bCs/>
                <w:i w:val="false"/>
                <w:iCs w:val="false"/>
                <w:color w:val="0D6B6B"/>
                <w:sz w:val="17"/>
                <w:szCs w:val="17"/>
              </w:rPr>
              <w:t xml:space="preserve">E</w:t>
            </w:r>
            <w:r>
              <w:rPr>
                <w:rFonts w:ascii="Arial" w:cs="Arial" w:eastAsia="Arial" w:hAnsi="Arial"/>
                <w:b w:val="false"/>
                <w:bCs w:val="false"/>
                <w:i w:val="false"/>
                <w:iCs w:val="false"/>
                <w:color w:val="222222"/>
                <w:sz w:val="17"/>
                <w:szCs w:val="17"/>
              </w:rPr>
              <w:t xml:space="preserve">  —  total residual error — sum of centre displacements across all K clusters</w:t>
            </w:r>
          </w:p>
          <w:p>
            <w:pPr>
              <w:spacing w:after="0" w:before="0"/>
            </w:pPr>
            <w:r>
              <w:rPr>
                <w:rFonts w:ascii="Courier New" w:cs="Courier New" w:eastAsia="Courier New" w:hAnsi="Courier New"/>
                <w:b/>
                <w:bCs/>
                <w:i w:val="false"/>
                <w:iCs w:val="false"/>
                <w:color w:val="0D6B6B"/>
                <w:sz w:val="17"/>
                <w:szCs w:val="17"/>
              </w:rPr>
              <w:t xml:space="preserve">ε</w:t>
            </w:r>
            <w:r>
              <w:rPr>
                <w:rFonts w:ascii="Arial" w:cs="Arial" w:eastAsia="Arial" w:hAnsi="Arial"/>
                <w:b w:val="false"/>
                <w:bCs w:val="false"/>
                <w:i w:val="false"/>
                <w:iCs w:val="false"/>
                <w:color w:val="222222"/>
                <w:sz w:val="17"/>
                <w:szCs w:val="17"/>
              </w:rPr>
              <w:t xml:space="preserve">  —  convergence threshold (scikit-image default)</w:t>
            </w:r>
          </w:p>
          <w:p>
            <w:pPr>
              <w:spacing w:after="0" w:before="0"/>
            </w:pPr>
            <w:r>
              <w:rPr>
                <w:rFonts w:ascii="Courier New" w:cs="Courier New" w:eastAsia="Courier New" w:hAnsi="Courier New"/>
                <w:b/>
                <w:bCs/>
                <w:i w:val="false"/>
                <w:iCs w:val="false"/>
                <w:color w:val="0D6B6B"/>
                <w:sz w:val="17"/>
                <w:szCs w:val="17"/>
              </w:rPr>
              <w:t xml:space="preserve">t</w:t>
            </w:r>
            <w:r>
              <w:rPr>
                <w:rFonts w:ascii="Arial" w:cs="Arial" w:eastAsia="Arial" w:hAnsi="Arial"/>
                <w:b w:val="false"/>
                <w:bCs w:val="false"/>
                <w:i w:val="false"/>
                <w:iCs w:val="false"/>
                <w:color w:val="222222"/>
                <w:sz w:val="17"/>
                <w:szCs w:val="17"/>
              </w:rPr>
              <w:t xml:space="preserve">  —  iteration index — SLIC typically converges in 5–10 iterations for CT data</w:t>
            </w: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6.7  enforce_connectivity — post-iteration cleanup</w:t>
      </w:r>
    </w:p>
    <w:p>
      <w:pPr>
        <w:spacing w:after="120" w:before="80"/>
      </w:pPr>
      <w:r>
        <w:rPr>
          <w:rFonts w:ascii="Arial" w:cs="Arial" w:eastAsia="Arial" w:hAnsi="Arial"/>
          <w:b w:val="false"/>
          <w:bCs w:val="false"/>
          <w:i w:val="false"/>
          <w:iCs w:val="false"/>
          <w:color w:val="222222"/>
          <w:sz w:val="20"/>
          <w:szCs w:val="20"/>
        </w:rPr>
        <w:t xml:space="preserve">After convergence, SLIC may have produced small disconnected fragments — voxels stranded from their assigned cluster. Setting </w:t>
      </w:r>
      <w:r>
        <w:rPr>
          <w:rFonts w:ascii="Courier New" w:cs="Courier New" w:eastAsia="Courier New" w:hAnsi="Courier New"/>
          <w:b w:val="false"/>
          <w:bCs w:val="false"/>
          <w:i w:val="false"/>
          <w:iCs w:val="false"/>
          <w:color w:val="B84800"/>
          <w:sz w:val="18"/>
          <w:szCs w:val="18"/>
        </w:rPr>
        <w:t xml:space="preserve">enforce_connectivity=True</w:t>
      </w:r>
      <w:r>
        <w:rPr>
          <w:rFonts w:ascii="Arial" w:cs="Arial" w:eastAsia="Arial" w:hAnsi="Arial"/>
          <w:b w:val="false"/>
          <w:bCs w:val="false"/>
          <w:i w:val="false"/>
          <w:iCs w:val="false"/>
          <w:color w:val="222222"/>
          <w:sz w:val="20"/>
          <w:szCs w:val="20"/>
        </w:rPr>
        <w:t xml:space="preserve"> forces these to merge with the nearest large contiguous neighbour. This guarantees every supervoxel in the output is a </w:t>
      </w:r>
      <w:r>
        <w:rPr>
          <w:rFonts w:ascii="Arial" w:cs="Arial" w:eastAsia="Arial" w:hAnsi="Arial"/>
          <w:b/>
          <w:bCs/>
          <w:i w:val="false"/>
          <w:iCs w:val="false"/>
          <w:color w:val="222222"/>
          <w:sz w:val="20"/>
          <w:szCs w:val="20"/>
        </w:rPr>
        <w:t xml:space="preserve">single spatially connected 3D region</w:t>
      </w:r>
      <w:r>
        <w:rPr>
          <w:rFonts w:ascii="Arial" w:cs="Arial" w:eastAsia="Arial" w:hAnsi="Arial"/>
          <w:b w:val="false"/>
          <w:bCs w:val="false"/>
          <w:i w:val="false"/>
          <w:iCs w:val="false"/>
          <w:color w:val="222222"/>
          <w:sz w:val="20"/>
          <w:szCs w:val="20"/>
        </w:rPr>
        <w:t xml:space="preserve">, which is essential for reliable radiomic feature extraction.</w:t>
      </w:r>
    </w:p>
    <w:p>
      <w:pPr>
        <w:spacing w:after="0" w:before="0"/>
      </w:pPr>
    </w:p>
    <w:p>
      <w:pPr>
        <w:pBdr>
          <w:bottom w:val="single" w:color="C8C8C8" w:sz="6"/>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7</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Step 4 — Post-Processing the Label Map</w:t>
            </w: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7.1  Apply region mask</w:t>
      </w:r>
    </w:p>
    <w:p>
      <w:pPr>
        <w:spacing w:after="120" w:before="80"/>
      </w:pPr>
      <w:r>
        <w:rPr>
          <w:rFonts w:ascii="Arial" w:cs="Arial" w:eastAsia="Arial" w:hAnsi="Arial"/>
          <w:b w:val="false"/>
          <w:bCs w:val="false"/>
          <w:i w:val="false"/>
          <w:iCs w:val="false"/>
          <w:color w:val="222222"/>
          <w:sz w:val="20"/>
          <w:szCs w:val="20"/>
        </w:rPr>
        <w:t xml:space="preserve">Any labels that fall marginally outside the peritumoral boundary after SLIC are set to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3080" w:sz="4"/>
              <w:left w:val="single" w:color="4A3080" w:sz="12"/>
              <w:bottom w:val="none" w:color="FFFFFF" w:sz="0"/>
              <w:right w:val="single" w:color="4A3080" w:sz="4"/>
            </w:tcBorders>
            <w:shd w:fill="F0EBF7" w:val="clear"/>
            <w:tcMar>
              <w:top w:type="dxa" w:w="60"/>
              <w:left w:type="dxa" w:w="240"/>
              <w:bottom w:type="dxa" w:w="0"/>
              <w:right w:type="dxa" w:w="200"/>
            </w:tcMar>
          </w:tcPr>
          <w:p>
            <w:pPr>
              <w:spacing w:after="0" w:before="0"/>
            </w:pPr>
            <w:r>
              <w:rPr>
                <w:rFonts w:ascii="Arial" w:cs="Arial" w:eastAsia="Arial" w:hAnsi="Arial"/>
                <w:b/>
                <w:bCs/>
                <w:i w:val="false"/>
                <w:iCs w:val="false"/>
                <w:color w:val="4A3080"/>
                <w:sz w:val="15"/>
                <w:szCs w:val="15"/>
              </w:rPr>
              <w:t xml:space="preserve">Python</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labels = labels * peritumoral_mask</w:t>
            </w:r>
          </w:p>
        </w:tc>
      </w:tr>
      <w:tr>
        <w:tc>
          <w:tcPr>
            <w:tcW w:type="dxa" w:w="9360"/>
            <w:tcBorders>
              <w:top w:val="none" w:color="FFFFFF" w:sz="0"/>
              <w:left w:val="single" w:color="4A3080" w:sz="12"/>
              <w:bottom w:val="single" w:color="4A3080" w:sz="4"/>
              <w:right w:val="single" w:color="4A3080" w:sz="4"/>
            </w:tcBorders>
            <w:shd w:fill="FFF3EC" w:val="clear"/>
            <w:tcMar>
              <w:top w:type="dxa" w:w="0"/>
              <w:left w:type="dxa" w:w="240"/>
              <w:bottom w:type="dxa" w:w="40"/>
              <w:right w:type="dxa" w:w="200"/>
            </w:tcMar>
          </w:tcPr>
          <w:p>
            <w:pPr>
              <w:spacing w:after="0" w:before="0"/>
            </w:pP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7.2  Renumber labels to contiguous integers</w:t>
      </w:r>
    </w:p>
    <w:p>
      <w:pPr>
        <w:spacing w:after="120" w:before="80"/>
      </w:pPr>
      <w:r>
        <w:rPr>
          <w:rFonts w:ascii="Arial" w:cs="Arial" w:eastAsia="Arial" w:hAnsi="Arial"/>
          <w:b w:val="false"/>
          <w:bCs w:val="false"/>
          <w:i w:val="false"/>
          <w:iCs w:val="false"/>
          <w:color w:val="222222"/>
          <w:sz w:val="20"/>
          <w:szCs w:val="20"/>
        </w:rPr>
        <w:t xml:space="preserve">After masking, the label set may contain gaps (for example, labels 1, 2, 5, 9 if some clusters were entirely outside the mask). The </w:t>
      </w:r>
      <w:r>
        <w:rPr>
          <w:rFonts w:ascii="Courier New" w:cs="Courier New" w:eastAsia="Courier New" w:hAnsi="Courier New"/>
          <w:b w:val="false"/>
          <w:bCs w:val="false"/>
          <w:i w:val="false"/>
          <w:iCs w:val="false"/>
          <w:color w:val="B84800"/>
          <w:sz w:val="18"/>
          <w:szCs w:val="18"/>
        </w:rPr>
        <w:t xml:space="preserve">_renumber_labels()</w:t>
      </w:r>
      <w:r>
        <w:rPr>
          <w:rFonts w:ascii="Arial" w:cs="Arial" w:eastAsia="Arial" w:hAnsi="Arial"/>
          <w:b w:val="false"/>
          <w:bCs w:val="false"/>
          <w:i w:val="false"/>
          <w:iCs w:val="false"/>
          <w:color w:val="222222"/>
          <w:sz w:val="20"/>
          <w:szCs w:val="20"/>
        </w:rPr>
        <w:t xml:space="preserve"> method remaps all surviving labels to 1, 2, 3, …,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3080" w:sz="4"/>
              <w:left w:val="single" w:color="4A3080" w:sz="12"/>
              <w:bottom w:val="none" w:color="FFFFFF" w:sz="0"/>
              <w:right w:val="single" w:color="4A3080" w:sz="4"/>
            </w:tcBorders>
            <w:shd w:fill="F0EBF7" w:val="clear"/>
            <w:tcMar>
              <w:top w:type="dxa" w:w="60"/>
              <w:left w:type="dxa" w:w="240"/>
              <w:bottom w:type="dxa" w:w="0"/>
              <w:right w:type="dxa" w:w="200"/>
            </w:tcMar>
          </w:tcPr>
          <w:p>
            <w:pPr>
              <w:spacing w:after="0" w:before="0"/>
            </w:pPr>
            <w:r>
              <w:rPr>
                <w:rFonts w:ascii="Arial" w:cs="Arial" w:eastAsia="Arial" w:hAnsi="Arial"/>
                <w:b/>
                <w:bCs/>
                <w:i w:val="false"/>
                <w:iCs w:val="false"/>
                <w:color w:val="4A3080"/>
                <w:sz w:val="15"/>
                <w:szCs w:val="15"/>
              </w:rPr>
              <w:t xml:space="preserve">Python</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unique_labels = np.unique(labels)</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unique_labels = unique_labels[ unique_labels &gt; 0 ]   # exclude background</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renumbered = np.zeros_like(labels)</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for new_label, old_label in enumerate(unique_labels, start=1):</w:t>
            </w:r>
          </w:p>
        </w:tc>
      </w:tr>
      <w:tr>
        <w:tc>
          <w:tcPr>
            <w:tcW w:type="dxa" w:w="9360"/>
            <w:tcBorders>
              <w:top w:val="none" w:color="FFFFFF" w:sz="0"/>
              <w:left w:val="single" w:color="4A3080" w:sz="12"/>
              <w:bottom w:val="none" w:color="FFFFFF" w:sz="0"/>
              <w:right w:val="single" w:color="4A3080" w:sz="4"/>
            </w:tcBorders>
            <w:shd w:fill="FFF3EC" w:val="clear"/>
            <w:tcMar>
              <w:top w:type="dxa" w:w="0"/>
              <w:left w:type="dxa" w:w="240"/>
              <w:bottom w:type="dxa" w:w="0"/>
              <w:right w:type="dxa" w:w="200"/>
            </w:tcMar>
          </w:tcPr>
          <w:p>
            <w:pPr>
              <w:spacing w:after="0" w:before="0"/>
            </w:pPr>
            <w:r>
              <w:rPr>
                <w:rFonts w:ascii="Courier New" w:cs="Courier New" w:eastAsia="Courier New" w:hAnsi="Courier New"/>
                <w:b w:val="false"/>
                <w:bCs w:val="false"/>
                <w:i w:val="false"/>
                <w:iCs w:val="false"/>
                <w:color w:val="B84800"/>
                <w:sz w:val="17"/>
                <w:szCs w:val="17"/>
              </w:rPr>
              <w:t xml:space="preserve">    renumbered[ labels == old_label ] = new_label</w:t>
            </w:r>
          </w:p>
        </w:tc>
      </w:tr>
      <w:tr>
        <w:tc>
          <w:tcPr>
            <w:tcW w:type="dxa" w:w="9360"/>
            <w:tcBorders>
              <w:top w:val="none" w:color="FFFFFF" w:sz="0"/>
              <w:left w:val="single" w:color="4A3080" w:sz="12"/>
              <w:bottom w:val="single" w:color="4A3080" w:sz="4"/>
              <w:right w:val="single" w:color="4A3080" w:sz="4"/>
            </w:tcBorders>
            <w:shd w:fill="FFF3EC" w:val="clear"/>
            <w:tcMar>
              <w:top w:type="dxa" w:w="0"/>
              <w:left w:type="dxa" w:w="240"/>
              <w:bottom w:type="dxa" w:w="40"/>
              <w:right w:type="dxa" w:w="200"/>
            </w:tcMar>
          </w:tcPr>
          <w:p>
            <w:pPr>
              <w:spacing w:after="0" w:before="0"/>
            </w:pPr>
          </w:p>
        </w:tc>
      </w:tr>
    </w:tbl>
    <w:p>
      <w:pPr>
        <w:spacing w:after="120" w:before="80"/>
      </w:pPr>
      <w:r>
        <w:rPr>
          <w:rFonts w:ascii="Arial" w:cs="Arial" w:eastAsia="Arial" w:hAnsi="Arial"/>
          <w:b w:val="false"/>
          <w:bCs w:val="false"/>
          <w:i w:val="false"/>
          <w:iCs w:val="false"/>
          <w:color w:val="222222"/>
          <w:sz w:val="20"/>
          <w:szCs w:val="20"/>
        </w:rPr>
        <w:t xml:space="preserve">This ensures </w:t>
      </w:r>
      <w:r>
        <w:rPr>
          <w:rFonts w:ascii="Courier New" w:cs="Courier New" w:eastAsia="Courier New" w:hAnsi="Courier New"/>
          <w:b w:val="false"/>
          <w:bCs w:val="false"/>
          <w:i w:val="false"/>
          <w:iCs w:val="false"/>
          <w:color w:val="B84800"/>
          <w:sz w:val="18"/>
          <w:szCs w:val="18"/>
        </w:rPr>
        <w:t xml:space="preserve">range(1, n_supervoxels + 1)</w:t>
      </w:r>
      <w:r>
        <w:rPr>
          <w:rFonts w:ascii="Arial" w:cs="Arial" w:eastAsia="Arial" w:hAnsi="Arial"/>
          <w:b w:val="false"/>
          <w:bCs w:val="false"/>
          <w:i w:val="false"/>
          <w:iCs w:val="false"/>
          <w:color w:val="222222"/>
          <w:sz w:val="20"/>
          <w:szCs w:val="20"/>
        </w:rPr>
        <w:t xml:space="preserve"> in feature_extractor.py covers every valid supervoxel ID with no gaps.</w:t>
      </w:r>
    </w:p>
    <w:p>
      <w:pPr>
        <w:spacing w:after="0" w:before="0"/>
      </w:pPr>
    </w:p>
    <w:p>
      <w:pPr>
        <w:pStyle w:val="Heading2"/>
        <w:spacing w:after="60" w:before="300"/>
      </w:pPr>
      <w:r>
        <w:rPr>
          <w:rFonts w:ascii="Arial" w:cs="Arial" w:eastAsia="Arial" w:hAnsi="Arial"/>
          <w:b/>
          <w:bCs/>
          <w:i w:val="false"/>
          <w:iCs w:val="false"/>
          <w:color w:val="0D6B6B"/>
          <w:sz w:val="23"/>
          <w:szCs w:val="23"/>
        </w:rPr>
        <w:t xml:space="preserve">7.3  Sanity check</w:t>
      </w:r>
    </w:p>
    <w:p>
      <w:pPr>
        <w:spacing w:after="120" w:before="80"/>
      </w:pPr>
      <w:r>
        <w:rPr>
          <w:rFonts w:ascii="Arial" w:cs="Arial" w:eastAsia="Arial" w:hAnsi="Arial"/>
          <w:b w:val="false"/>
          <w:bCs w:val="false"/>
          <w:i w:val="false"/>
          <w:iCs w:val="false"/>
          <w:color w:val="222222"/>
          <w:sz w:val="20"/>
          <w:szCs w:val="20"/>
        </w:rPr>
        <w:t xml:space="preserve">If the final supervoxel count falls below 20, a warning is printed. This typically indicates either a very small peritumoral region, a very large GTV relative to the region, or coarse input resolution. Downstream code uses </w:t>
      </w:r>
      <w:r>
        <w:rPr>
          <w:rFonts w:ascii="Courier New" w:cs="Courier New" w:eastAsia="Courier New" w:hAnsi="Courier New"/>
          <w:b w:val="false"/>
          <w:bCs w:val="false"/>
          <w:i w:val="false"/>
          <w:iCs w:val="false"/>
          <w:color w:val="B84800"/>
          <w:sz w:val="18"/>
          <w:szCs w:val="18"/>
        </w:rPr>
        <w:t xml:space="preserve">K = min(20, n_supervoxels)</w:t>
      </w:r>
      <w:r>
        <w:rPr>
          <w:rFonts w:ascii="Arial" w:cs="Arial" w:eastAsia="Arial" w:hAnsi="Arial"/>
          <w:b w:val="false"/>
          <w:bCs w:val="false"/>
          <w:i w:val="false"/>
          <w:iCs w:val="false"/>
          <w:color w:val="222222"/>
          <w:sz w:val="20"/>
          <w:szCs w:val="20"/>
        </w:rPr>
        <w:t xml:space="preserve">, so the pipeline continues but the patient graph will have fewer spoke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4"/>
              <w:left w:val="single" w:color="7A5000" w:sz="20"/>
              <w:bottom w:val="single" w:color="C8C8C8" w:sz="4"/>
              <w:right w:val="single" w:color="C8C8C8" w:sz="4"/>
            </w:tcBorders>
            <w:shd w:fill="FEF7E0" w:val="clear"/>
            <w:tcMar>
              <w:top w:type="dxa" w:w="120"/>
              <w:left w:type="dxa" w:w="280"/>
              <w:bottom w:type="dxa" w:w="120"/>
              <w:right w:type="dxa" w:w="200"/>
            </w:tcMar>
          </w:tcPr>
          <w:p>
            <w:pPr>
              <w:spacing w:after="60" w:before="0"/>
            </w:pPr>
            <w:r>
              <w:rPr>
                <w:rFonts w:ascii="Arial" w:cs="Arial" w:eastAsia="Arial" w:hAnsi="Arial"/>
                <w:b/>
                <w:bCs/>
                <w:i w:val="false"/>
                <w:iCs w:val="false"/>
                <w:color w:val="7A5000"/>
                <w:sz w:val="19"/>
                <w:szCs w:val="19"/>
              </w:rPr>
              <w:t xml:space="preserve">Caution</w:t>
            </w:r>
          </w:p>
          <w:p>
            <w:pPr>
              <w:spacing w:after="60" w:before="0"/>
            </w:pPr>
            <w:r>
              <w:rPr>
                <w:rFonts w:ascii="Arial" w:cs="Arial" w:eastAsia="Arial" w:hAnsi="Arial"/>
                <w:b/>
                <w:bCs/>
                <w:i w:val="false"/>
                <w:iCs w:val="false"/>
                <w:color w:val="7A5000"/>
                <w:sz w:val="20"/>
                <w:szCs w:val="20"/>
              </w:rPr>
              <w:t xml:space="preserve">Low supervoxel count</w:t>
            </w:r>
          </w:p>
          <w:p>
            <w:pPr>
              <w:spacing w:after="0" w:before="0"/>
            </w:pPr>
            <w:r>
              <w:rPr>
                <w:rFonts w:ascii="Arial" w:cs="Arial" w:eastAsia="Arial" w:hAnsi="Arial"/>
                <w:b w:val="false"/>
                <w:bCs w:val="false"/>
                <w:i w:val="false"/>
                <w:iCs w:val="false"/>
                <w:color w:val="222222"/>
                <w:sz w:val="19"/>
                <w:szCs w:val="19"/>
              </w:rPr>
              <w:t xml:space="preserve">If you see this warning frequently across your cohort, check:
(1) CT spacing after resampling — should be 1 mm isotropic
(2) peritumoral region size — should contain at least 2,000 voxels
(3) GTV exclusion — a very large GTV may consume most of the 5 cm region</w:t>
            </w:r>
          </w:p>
        </w:tc>
      </w:tr>
    </w:tbl>
    <w:p>
      <w:pPr>
        <w:spacing w:after="0" w:before="0"/>
      </w:pPr>
    </w:p>
    <w:p>
      <w:pPr>
        <w:pBdr>
          <w:bottom w:val="single" w:color="C8C8C8" w:sz="6"/>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8</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Output Format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Field</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Type / Shape</w:t>
            </w:r>
          </w:p>
        </w:tc>
        <w:tc>
          <w:tcPr>
            <w:tcW w:type="dxa" w:w="47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Value semantics</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bCs/>
                <w:i w:val="false"/>
                <w:iCs w:val="false"/>
                <w:color w:val="222222"/>
                <w:sz w:val="18"/>
                <w:szCs w:val="18"/>
              </w:rPr>
              <w:t xml:space="preserve">supervoxel_labels</w:t>
            </w:r>
          </w:p>
        </w:tc>
        <w:tc>
          <w:tcPr>
            <w:tcW w:type="dxa" w:w="22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int32 · (Z, H, W)</w:t>
            </w:r>
          </w:p>
        </w:tc>
        <w:tc>
          <w:tcPr>
            <w:tcW w:type="dxa" w:w="47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0 = background / GTV / outside region;  1…N = peritumoral supervoxel IDs</w:t>
            </w:r>
          </w:p>
        </w:tc>
      </w:tr>
      <w:tr>
        <w:tc>
          <w:tcPr>
            <w:tcW w:type="dxa" w:w="24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bCs/>
                <w:i w:val="false"/>
                <w:iCs w:val="false"/>
                <w:color w:val="222222"/>
                <w:sz w:val="18"/>
                <w:szCs w:val="18"/>
              </w:rPr>
              <w:t xml:space="preserve">n_supervoxels</w:t>
            </w:r>
          </w:p>
        </w:tc>
        <w:tc>
          <w:tcPr>
            <w:tcW w:type="dxa" w:w="22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int (Python native)</w:t>
            </w:r>
          </w:p>
        </w:tc>
        <w:tc>
          <w:tcPr>
            <w:tcW w:type="dxa" w:w="47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Actual supervoxel count. Typical range: 70–110 (target 100). Stored as np.array([N]) in .npz</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Saved key</w:t>
            </w:r>
          </w:p>
        </w:tc>
        <w:tc>
          <w:tcPr>
            <w:tcW w:type="dxa" w:w="22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.npz archive</w:t>
            </w:r>
          </w:p>
        </w:tc>
        <w:tc>
          <w:tcPr>
            <w:tcW w:type="dxa" w:w="47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'supervoxel_labels' in {patient_id}_preprocessed.npz</w:t>
            </w:r>
          </w:p>
        </w:tc>
      </w:tr>
      <w:tr>
        <w:tc>
          <w:tcPr>
            <w:tcW w:type="dxa" w:w="24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Labels are</w:t>
            </w:r>
          </w:p>
        </w:tc>
        <w:tc>
          <w:tcPr>
            <w:tcW w:type="dxa" w:w="22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contiguous</w:t>
            </w:r>
          </w:p>
        </w:tc>
        <w:tc>
          <w:tcPr>
            <w:tcW w:type="dxa" w:w="47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After renumbering: no gaps. Iterating range(1, N+1) reaches every valid supervoxel.</w:t>
            </w:r>
          </w:p>
        </w:tc>
      </w:tr>
    </w:tbl>
    <w:p>
      <w:pPr>
        <w:spacing w:after="0" w:before="0"/>
      </w:pPr>
    </w:p>
    <w:p>
      <w:pPr>
        <w:pBdr>
          <w:bottom w:val="single" w:color="C8C8C8" w:sz="6"/>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9</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Parameter Reference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160"/>
        <w:gridCol w:w="2400"/>
        <w:gridCol w:w="3840"/>
      </w:tblGrid>
      <w:tr>
        <w:trPr>
          <w:tblHeader/>
        </w:trPr>
        <w:tc>
          <w:tcPr>
            <w:tcW w:type="dxa" w:w="19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Parameter</w:t>
            </w:r>
          </w:p>
        </w:tc>
        <w:tc>
          <w:tcPr>
            <w:tcW w:type="dxa" w:w="11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Default</w:t>
            </w:r>
          </w:p>
        </w:tc>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Effect</w:t>
            </w:r>
          </w:p>
        </w:tc>
        <w:tc>
          <w:tcPr>
            <w:tcW w:type="dxa" w:w="384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Change if…</w:t>
            </w:r>
          </w:p>
        </w:tc>
      </w:tr>
      <w:tr>
        <w:tc>
          <w:tcPr>
            <w:tcW w:type="dxa" w:w="19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bCs/>
                <w:i w:val="false"/>
                <w:iCs w:val="false"/>
                <w:color w:val="222222"/>
                <w:sz w:val="18"/>
                <w:szCs w:val="18"/>
              </w:rPr>
              <w:t xml:space="preserve">n_segments</w:t>
            </w:r>
          </w:p>
        </w:tc>
        <w:tc>
          <w:tcPr>
            <w:tcW w:type="dxa" w:w="11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100</w:t>
            </w:r>
          </w:p>
        </w:tc>
        <w:tc>
          <w:tcPr>
            <w:tcW w:type="dxa" w:w="24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Target supervoxel count</w:t>
            </w:r>
          </w:p>
        </w:tc>
        <w:tc>
          <w:tcPr>
            <w:tcW w:type="dxa" w:w="384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Region very large (↑ to 150); region very small (↓ to 50–60)</w:t>
            </w:r>
          </w:p>
        </w:tc>
      </w:tr>
      <w:tr>
        <w:tc>
          <w:tcPr>
            <w:tcW w:type="dxa" w:w="19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bCs/>
                <w:i w:val="false"/>
                <w:iCs w:val="false"/>
                <w:color w:val="222222"/>
                <w:sz w:val="18"/>
                <w:szCs w:val="18"/>
              </w:rPr>
              <w:t xml:space="preserve">slic_zero</w:t>
            </w:r>
          </w:p>
        </w:tc>
        <w:tc>
          <w:tcPr>
            <w:tcW w:type="dxa" w:w="11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True</w:t>
            </w:r>
          </w:p>
        </w:tc>
        <w:tc>
          <w:tcPr>
            <w:tcW w:type="dxa" w:w="24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Adaptive compactness — zero-parameter mode</w:t>
            </w:r>
          </w:p>
        </w:tc>
        <w:tc>
          <w:tcPr>
            <w:tcW w:type="dxa" w:w="384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Never change. Core to the algorithm's design.</w:t>
            </w:r>
          </w:p>
        </w:tc>
      </w:tr>
      <w:tr>
        <w:tc>
          <w:tcPr>
            <w:tcW w:type="dxa" w:w="19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bCs/>
                <w:i w:val="false"/>
                <w:iCs w:val="false"/>
                <w:color w:val="222222"/>
                <w:sz w:val="18"/>
                <w:szCs w:val="18"/>
              </w:rPr>
              <w:t xml:space="preserve">channel_axis</w:t>
            </w:r>
          </w:p>
        </w:tc>
        <w:tc>
          <w:tcPr>
            <w:tcW w:type="dxa" w:w="11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None</w:t>
            </w:r>
          </w:p>
        </w:tc>
        <w:tc>
          <w:tcPr>
            <w:tcW w:type="dxa" w:w="24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Grayscale 3D input (no colour channels)</w:t>
            </w:r>
          </w:p>
        </w:tc>
        <w:tc>
          <w:tcPr>
            <w:tcW w:type="dxa" w:w="384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Never change. CT is always single-channel.</w:t>
            </w:r>
          </w:p>
        </w:tc>
      </w:tr>
      <w:tr>
        <w:tc>
          <w:tcPr>
            <w:tcW w:type="dxa" w:w="19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bCs/>
                <w:i w:val="false"/>
                <w:iCs w:val="false"/>
                <w:color w:val="222222"/>
                <w:sz w:val="18"/>
                <w:szCs w:val="18"/>
              </w:rPr>
              <w:t xml:space="preserve">enforce_connectivity</w:t>
            </w:r>
          </w:p>
        </w:tc>
        <w:tc>
          <w:tcPr>
            <w:tcW w:type="dxa" w:w="11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True</w:t>
            </w:r>
          </w:p>
        </w:tc>
        <w:tc>
          <w:tcPr>
            <w:tcW w:type="dxa" w:w="24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Merge disconnected fragments</w:t>
            </w:r>
          </w:p>
        </w:tc>
        <w:tc>
          <w:tcPr>
            <w:tcW w:type="dxa" w:w="384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Set False only for debugging. Always True in production.</w:t>
            </w:r>
          </w:p>
        </w:tc>
      </w:tr>
      <w:tr>
        <w:tc>
          <w:tcPr>
            <w:tcW w:type="dxa" w:w="19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bCs/>
                <w:i w:val="false"/>
                <w:iCs w:val="false"/>
                <w:color w:val="222222"/>
                <w:sz w:val="18"/>
                <w:szCs w:val="18"/>
              </w:rPr>
              <w:t xml:space="preserve">start_label</w:t>
            </w:r>
          </w:p>
        </w:tc>
        <w:tc>
          <w:tcPr>
            <w:tcW w:type="dxa" w:w="11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1</w:t>
            </w:r>
          </w:p>
        </w:tc>
        <w:tc>
          <w:tcPr>
            <w:tcW w:type="dxa" w:w="24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First supervoxel label (0 = background)</w:t>
            </w:r>
          </w:p>
        </w:tc>
        <w:tc>
          <w:tcPr>
            <w:tcW w:type="dxa" w:w="384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Never change. Convention is fixed across the pipeline.</w:t>
            </w:r>
          </w:p>
        </w:tc>
      </w:tr>
      <w:tr>
        <w:tc>
          <w:tcPr>
            <w:tcW w:type="dxa" w:w="19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bCs/>
                <w:i w:val="false"/>
                <w:iCs w:val="false"/>
                <w:color w:val="222222"/>
                <w:sz w:val="18"/>
                <w:szCs w:val="18"/>
              </w:rPr>
              <w:t xml:space="preserve">mask</w:t>
            </w:r>
          </w:p>
        </w:tc>
        <w:tc>
          <w:tcPr>
            <w:tcW w:type="dxa" w:w="11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peritumoral_mask</w:t>
            </w:r>
          </w:p>
        </w:tc>
        <w:tc>
          <w:tcPr>
            <w:tcW w:type="dxa" w:w="24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Restricts SLIC to valid region</w:t>
            </w:r>
          </w:p>
        </w:tc>
        <w:tc>
          <w:tcPr>
            <w:tcW w:type="dxa" w:w="384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Always pass the GTV-excluded peritumoral mask.</w:t>
            </w:r>
          </w:p>
        </w:tc>
      </w:tr>
      <w:tr>
        <w:tc>
          <w:tcPr>
            <w:tcW w:type="dxa" w:w="19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bCs/>
                <w:i w:val="false"/>
                <w:iCs w:val="false"/>
                <w:color w:val="222222"/>
                <w:sz w:val="18"/>
                <w:szCs w:val="18"/>
              </w:rPr>
              <w:t xml:space="preserve">Min voxels per SV</w:t>
            </w:r>
          </w:p>
        </w:tc>
        <w:tc>
          <w:tcPr>
            <w:tcW w:type="dxa" w:w="11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Courier New" w:cs="Courier New" w:eastAsia="Courier New" w:hAnsi="Courier New"/>
                <w:b w:val="false"/>
                <w:bCs w:val="false"/>
                <w:i w:val="false"/>
                <w:iCs w:val="false"/>
                <w:color w:val="222222"/>
                <w:sz w:val="18"/>
                <w:szCs w:val="18"/>
              </w:rPr>
              <w:t xml:space="preserve">8</w:t>
            </w:r>
          </w:p>
        </w:tc>
        <w:tc>
          <w:tcPr>
            <w:tcW w:type="dxa" w:w="24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Skip tiny supervoxels in feature extraction</w:t>
            </w:r>
          </w:p>
        </w:tc>
        <w:tc>
          <w:tcPr>
            <w:tcW w:type="dxa" w:w="384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Reduce to 4 if many boundary supervoxels are being dropped.</w:t>
            </w:r>
          </w:p>
        </w:tc>
      </w:tr>
    </w:tbl>
    <w:p>
      <w:pPr>
        <w:spacing w:after="0" w:before="0"/>
      </w:pPr>
    </w:p>
    <w:p>
      <w:pPr>
        <w:pBdr>
          <w:bottom w:val="single" w:color="C8C8C8" w:sz="6"/>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10</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Integration with the Rest of the Pipeline</w:t>
            </w:r>
          </w:p>
        </w:tc>
      </w:tr>
    </w:tbl>
    <w:p>
      <w:pPr>
        <w:spacing w:after="0" w:before="0"/>
      </w:pPr>
    </w:p>
    <w:p>
      <w:pPr>
        <w:pStyle w:val="Heading2"/>
        <w:spacing w:after="60" w:before="300"/>
      </w:pPr>
      <w:r>
        <w:rPr>
          <w:rFonts w:ascii="Arial" w:cs="Arial" w:eastAsia="Arial" w:hAnsi="Arial"/>
          <w:b/>
          <w:bCs/>
          <w:i w:val="false"/>
          <w:iCs w:val="false"/>
          <w:color w:val="0D6B6B"/>
          <w:sz w:val="23"/>
          <w:szCs w:val="23"/>
        </w:rPr>
        <w:t xml:space="preserve">10.1  Upstream — preprocessing.py</w:t>
      </w:r>
    </w:p>
    <w:p>
      <w:pPr>
        <w:spacing w:after="120" w:before="80"/>
      </w:pPr>
      <w:r>
        <w:rPr>
          <w:rFonts w:ascii="Arial" w:cs="Arial" w:eastAsia="Arial" w:hAnsi="Arial"/>
          <w:b w:val="false"/>
          <w:bCs w:val="false"/>
          <w:i w:val="false"/>
          <w:iCs w:val="false"/>
          <w:color w:val="222222"/>
          <w:sz w:val="20"/>
          <w:szCs w:val="20"/>
        </w:rPr>
        <w:t xml:space="preserve">preprocessing.py resamples the CT and GTV mask to 1 mm isotropic spacing and calls </w:t>
      </w:r>
      <w:r>
        <w:rPr>
          <w:rFonts w:ascii="Courier New" w:cs="Courier New" w:eastAsia="Courier New" w:hAnsi="Courier New"/>
          <w:b w:val="false"/>
          <w:bCs w:val="false"/>
          <w:i w:val="false"/>
          <w:iCs w:val="false"/>
          <w:color w:val="B84800"/>
          <w:sz w:val="18"/>
          <w:szCs w:val="18"/>
        </w:rPr>
        <w:t xml:space="preserve">define_peritumoral_region()</w:t>
      </w:r>
      <w:r>
        <w:rPr>
          <w:rFonts w:ascii="Arial" w:cs="Arial" w:eastAsia="Arial" w:hAnsi="Arial"/>
          <w:b w:val="false"/>
          <w:bCs w:val="false"/>
          <w:i w:val="false"/>
          <w:iCs w:val="false"/>
          <w:color w:val="222222"/>
          <w:sz w:val="20"/>
          <w:szCs w:val="20"/>
        </w:rPr>
        <w:t xml:space="preserve"> to define the 5 cm bounding region. The three arrays </w:t>
      </w:r>
      <w:r>
        <w:rPr>
          <w:rFonts w:ascii="Courier New" w:cs="Courier New" w:eastAsia="Courier New" w:hAnsi="Courier New"/>
          <w:b w:val="false"/>
          <w:bCs w:val="false"/>
          <w:i w:val="false"/>
          <w:iCs w:val="false"/>
          <w:color w:val="B84800"/>
          <w:sz w:val="18"/>
          <w:szCs w:val="18"/>
        </w:rPr>
        <w:t xml:space="preserve">ct_array</w:t>
      </w:r>
      <w:r>
        <w:rPr>
          <w:rFonts w:ascii="Arial" w:cs="Arial" w:eastAsia="Arial" w:hAnsi="Arial"/>
          <w:b w:val="false"/>
          <w:bCs w:val="false"/>
          <w:i w:val="false"/>
          <w:iCs w:val="false"/>
          <w:color w:val="222222"/>
          <w:sz w:val="20"/>
          <w:szCs w:val="20"/>
        </w:rPr>
        <w:t xml:space="preserve">, </w:t>
      </w:r>
      <w:r>
        <w:rPr>
          <w:rFonts w:ascii="Courier New" w:cs="Courier New" w:eastAsia="Courier New" w:hAnsi="Courier New"/>
          <w:b w:val="false"/>
          <w:bCs w:val="false"/>
          <w:i w:val="false"/>
          <w:iCs w:val="false"/>
          <w:color w:val="B84800"/>
          <w:sz w:val="18"/>
          <w:szCs w:val="18"/>
        </w:rPr>
        <w:t xml:space="preserve">gtv_array</w:t>
      </w:r>
      <w:r>
        <w:rPr>
          <w:rFonts w:ascii="Arial" w:cs="Arial" w:eastAsia="Arial" w:hAnsi="Arial"/>
          <w:b w:val="false"/>
          <w:bCs w:val="false"/>
          <w:i w:val="false"/>
          <w:iCs w:val="false"/>
          <w:color w:val="222222"/>
          <w:sz w:val="20"/>
          <w:szCs w:val="20"/>
        </w:rPr>
        <w:t xml:space="preserve">, and </w:t>
      </w:r>
      <w:r>
        <w:rPr>
          <w:rFonts w:ascii="Courier New" w:cs="Courier New" w:eastAsia="Courier New" w:hAnsi="Courier New"/>
          <w:b w:val="false"/>
          <w:bCs w:val="false"/>
          <w:i w:val="false"/>
          <w:iCs w:val="false"/>
          <w:color w:val="B84800"/>
          <w:sz w:val="18"/>
          <w:szCs w:val="18"/>
        </w:rPr>
        <w:t xml:space="preserve">region_array</w:t>
      </w:r>
      <w:r>
        <w:rPr>
          <w:rFonts w:ascii="Arial" w:cs="Arial" w:eastAsia="Arial" w:hAnsi="Arial"/>
          <w:b w:val="false"/>
          <w:bCs w:val="false"/>
          <w:i w:val="false"/>
          <w:iCs w:val="false"/>
          <w:color w:val="222222"/>
          <w:sz w:val="20"/>
          <w:szCs w:val="20"/>
        </w:rPr>
        <w:t xml:space="preserve"> are all required inputs to Stage 2.</w:t>
      </w:r>
    </w:p>
    <w:p>
      <w:pPr>
        <w:spacing w:after="0" w:before="0"/>
      </w:pPr>
    </w:p>
    <w:p>
      <w:pPr>
        <w:pStyle w:val="Heading2"/>
        <w:spacing w:after="60" w:before="300"/>
      </w:pPr>
      <w:r>
        <w:rPr>
          <w:rFonts w:ascii="Arial" w:cs="Arial" w:eastAsia="Arial" w:hAnsi="Arial"/>
          <w:b/>
          <w:bCs/>
          <w:i w:val="false"/>
          <w:iCs w:val="false"/>
          <w:color w:val="0D6B6B"/>
          <w:sz w:val="23"/>
          <w:szCs w:val="23"/>
        </w:rPr>
        <w:t xml:space="preserve">10.2  Downstream — feature_extractor.py</w:t>
      </w:r>
    </w:p>
    <w:p>
      <w:pPr>
        <w:spacing w:after="120" w:before="80"/>
      </w:pPr>
      <w:r>
        <w:rPr>
          <w:rFonts w:ascii="Arial" w:cs="Arial" w:eastAsia="Arial" w:hAnsi="Arial"/>
          <w:b w:val="false"/>
          <w:bCs w:val="false"/>
          <w:i w:val="false"/>
          <w:iCs w:val="false"/>
          <w:color w:val="222222"/>
          <w:sz w:val="20"/>
          <w:szCs w:val="20"/>
        </w:rPr>
        <w:t xml:space="preserve">feature_extractor.py iterates </w:t>
      </w:r>
      <w:r>
        <w:rPr>
          <w:rFonts w:ascii="Courier New" w:cs="Courier New" w:eastAsia="Courier New" w:hAnsi="Courier New"/>
          <w:b w:val="false"/>
          <w:bCs w:val="false"/>
          <w:i w:val="false"/>
          <w:iCs w:val="false"/>
          <w:color w:val="B84800"/>
          <w:sz w:val="18"/>
          <w:szCs w:val="18"/>
        </w:rPr>
        <w:t xml:space="preserve">range(1, n_supervoxels + 1)</w:t>
      </w:r>
      <w:r>
        <w:rPr>
          <w:rFonts w:ascii="Arial" w:cs="Arial" w:eastAsia="Arial" w:hAnsi="Arial"/>
          <w:b w:val="false"/>
          <w:bCs w:val="false"/>
          <w:i w:val="false"/>
          <w:iCs w:val="false"/>
          <w:color w:val="222222"/>
          <w:sz w:val="20"/>
          <w:szCs w:val="20"/>
        </w:rPr>
        <w:t xml:space="preserve"> and for each label ID:</w:t>
      </w:r>
    </w:p>
    <w:p>
      <w:pPr>
        <w:pStyle w:val="ListParagraph"/>
        <w:numPr>
          <w:ilvl w:val="0"/>
          <w:numId w:val="3"/>
        </w:numPr>
        <w:spacing w:after="50" w:before="40"/>
      </w:pPr>
      <w:r>
        <w:rPr>
          <w:rFonts w:ascii="Arial" w:cs="Arial" w:eastAsia="Arial" w:hAnsi="Arial"/>
          <w:b w:val="false"/>
          <w:bCs w:val="false"/>
          <w:i w:val="false"/>
          <w:iCs w:val="false"/>
          <w:color w:val="222222"/>
          <w:sz w:val="20"/>
          <w:szCs w:val="20"/>
        </w:rPr>
        <w:t xml:space="preserve">Creates a binary mask:  sv_mask = (supervoxel_labels == sv_id)</w:t>
      </w:r>
    </w:p>
    <w:p>
      <w:pPr>
        <w:pStyle w:val="ListParagraph"/>
        <w:numPr>
          <w:ilvl w:val="0"/>
          <w:numId w:val="3"/>
        </w:numPr>
        <w:spacing w:after="50" w:before="40"/>
      </w:pPr>
      <w:r>
        <w:rPr>
          <w:rFonts w:ascii="Arial" w:cs="Arial" w:eastAsia="Arial" w:hAnsi="Arial"/>
          <w:b w:val="false"/>
          <w:bCs w:val="false"/>
          <w:i w:val="false"/>
          <w:iCs w:val="false"/>
          <w:color w:val="222222"/>
          <w:sz w:val="20"/>
          <w:szCs w:val="20"/>
        </w:rPr>
        <w:t xml:space="preserve">Skips if fewer than 8 voxels (too small for reliable radiomics)</w:t>
      </w:r>
    </w:p>
    <w:p>
      <w:pPr>
        <w:pStyle w:val="ListParagraph"/>
        <w:numPr>
          <w:ilvl w:val="0"/>
          <w:numId w:val="3"/>
        </w:numPr>
        <w:spacing w:after="50" w:before="40"/>
      </w:pPr>
      <w:r>
        <w:rPr>
          <w:rFonts w:ascii="Arial" w:cs="Arial" w:eastAsia="Arial" w:hAnsi="Arial"/>
          <w:b w:val="false"/>
          <w:bCs w:val="false"/>
          <w:i w:val="false"/>
          <w:iCs w:val="false"/>
          <w:color w:val="222222"/>
          <w:sz w:val="20"/>
          <w:szCs w:val="20"/>
        </w:rPr>
        <w:t xml:space="preserve">Calls PyRadiomics to extract ~83 texture and intensity features</w:t>
      </w:r>
    </w:p>
    <w:p>
      <w:pPr>
        <w:pStyle w:val="ListParagraph"/>
        <w:numPr>
          <w:ilvl w:val="0"/>
          <w:numId w:val="3"/>
        </w:numPr>
        <w:spacing w:after="50" w:before="40"/>
      </w:pPr>
      <w:r>
        <w:rPr>
          <w:rFonts w:ascii="Arial" w:cs="Arial" w:eastAsia="Arial" w:hAnsi="Arial"/>
          <w:b w:val="false"/>
          <w:bCs w:val="false"/>
          <w:i w:val="false"/>
          <w:iCs w:val="false"/>
          <w:color w:val="222222"/>
          <w:sz w:val="20"/>
          <w:szCs w:val="20"/>
        </w:rPr>
        <w:t xml:space="preserve">Records the voxel centroid (z, y, x) as a spatial coordinate for the graph</w:t>
      </w:r>
    </w:p>
    <w:p>
      <w:pPr>
        <w:spacing w:after="120" w:before="80"/>
      </w:pPr>
      <w:r>
        <w:rPr>
          <w:rFonts w:ascii="Arial" w:cs="Arial" w:eastAsia="Arial" w:hAnsi="Arial"/>
          <w:b w:val="false"/>
          <w:bCs w:val="false"/>
          <w:i w:val="false"/>
          <w:iCs w:val="false"/>
          <w:color w:val="222222"/>
          <w:sz w:val="20"/>
          <w:szCs w:val="20"/>
        </w:rPr>
        <w:t xml:space="preserve">GTV features are extracted </w:t>
      </w:r>
      <w:r>
        <w:rPr>
          <w:rFonts w:ascii="Arial" w:cs="Arial" w:eastAsia="Arial" w:hAnsi="Arial"/>
          <w:b/>
          <w:bCs/>
          <w:i w:val="false"/>
          <w:iCs w:val="false"/>
          <w:color w:val="222222"/>
          <w:sz w:val="20"/>
          <w:szCs w:val="20"/>
        </w:rPr>
        <w:t xml:space="preserve">separately</w:t>
      </w:r>
      <w:r>
        <w:rPr>
          <w:rFonts w:ascii="Arial" w:cs="Arial" w:eastAsia="Arial" w:hAnsi="Arial"/>
          <w:b w:val="false"/>
          <w:bCs w:val="false"/>
          <w:i w:val="false"/>
          <w:iCs w:val="false"/>
          <w:color w:val="222222"/>
          <w:sz w:val="20"/>
          <w:szCs w:val="20"/>
        </w:rPr>
        <w:t xml:space="preserve"> using the binary gtv_array — not from the supervoxel label map. This is why the GTV exclusion in Step 1 is essential: the two feature extraction paths must not overlap.</w:t>
      </w:r>
    </w:p>
    <w:p>
      <w:pPr>
        <w:spacing w:after="0" w:before="0"/>
      </w:pPr>
    </w:p>
    <w:p>
      <w:pPr>
        <w:pStyle w:val="Heading2"/>
        <w:spacing w:after="60" w:before="300"/>
      </w:pPr>
      <w:r>
        <w:rPr>
          <w:rFonts w:ascii="Arial" w:cs="Arial" w:eastAsia="Arial" w:hAnsi="Arial"/>
          <w:b/>
          <w:bCs/>
          <w:i w:val="false"/>
          <w:iCs w:val="false"/>
          <w:color w:val="0D6B6B"/>
          <w:sz w:val="23"/>
          <w:szCs w:val="23"/>
        </w:rPr>
        <w:t xml:space="preserve">10.3  Downstream — graph_builder.py</w:t>
      </w:r>
    </w:p>
    <w:p>
      <w:pPr>
        <w:spacing w:after="120" w:before="80"/>
      </w:pPr>
      <w:r>
        <w:rPr>
          <w:rFonts w:ascii="Arial" w:cs="Arial" w:eastAsia="Arial" w:hAnsi="Arial"/>
          <w:b w:val="false"/>
          <w:bCs w:val="false"/>
          <w:i w:val="false"/>
          <w:iCs w:val="false"/>
          <w:color w:val="222222"/>
          <w:sz w:val="20"/>
          <w:szCs w:val="20"/>
        </w:rPr>
        <w:t xml:space="preserve">graph_builder.py receives the per-supervoxel feature vectors and centroids and constructs the patient graph:</w:t>
      </w:r>
    </w:p>
    <w:p>
      <w:pPr>
        <w:pStyle w:val="ListParagraph"/>
        <w:numPr>
          <w:ilvl w:val="0"/>
          <w:numId w:val="2"/>
        </w:numPr>
        <w:spacing w:after="50" w:before="40"/>
      </w:pPr>
      <w:r>
        <w:rPr>
          <w:rFonts w:ascii="Arial" w:cs="Arial" w:eastAsia="Arial" w:hAnsi="Arial"/>
          <w:b/>
          <w:bCs/>
          <w:i w:val="false"/>
          <w:iCs w:val="false"/>
          <w:color w:val="222222"/>
          <w:sz w:val="20"/>
          <w:szCs w:val="20"/>
        </w:rPr>
        <w:t xml:space="preserve">Node 0 (hub): </w:t>
      </w:r>
      <w:r>
        <w:rPr>
          <w:rFonts w:ascii="Arial" w:cs="Arial" w:eastAsia="Arial" w:hAnsi="Arial"/>
          <w:b w:val="false"/>
          <w:bCs w:val="false"/>
          <w:i w:val="false"/>
          <w:iCs w:val="false"/>
          <w:color w:val="222222"/>
          <w:sz w:val="20"/>
          <w:szCs w:val="20"/>
        </w:rPr>
        <w:t xml:space="preserve">GTV features and centroid</w:t>
      </w:r>
    </w:p>
    <w:p>
      <w:pPr>
        <w:pStyle w:val="ListParagraph"/>
        <w:numPr>
          <w:ilvl w:val="0"/>
          <w:numId w:val="2"/>
        </w:numPr>
        <w:spacing w:after="50" w:before="40"/>
      </w:pPr>
      <w:r>
        <w:rPr>
          <w:rFonts w:ascii="Arial" w:cs="Arial" w:eastAsia="Arial" w:hAnsi="Arial"/>
          <w:b/>
          <w:bCs/>
          <w:i w:val="false"/>
          <w:iCs w:val="false"/>
          <w:color w:val="222222"/>
          <w:sz w:val="20"/>
          <w:szCs w:val="20"/>
        </w:rPr>
        <w:t xml:space="preserve">Nodes 1–20 (spokes): </w:t>
      </w:r>
      <w:r>
        <w:rPr>
          <w:rFonts w:ascii="Arial" w:cs="Arial" w:eastAsia="Arial" w:hAnsi="Arial"/>
          <w:b w:val="false"/>
          <w:bCs w:val="false"/>
          <w:i w:val="false"/>
          <w:iCs w:val="false"/>
          <w:color w:val="222222"/>
          <w:sz w:val="20"/>
          <w:szCs w:val="20"/>
        </w:rPr>
        <w:t xml:space="preserve">Top-20 supervoxels selected by cosine similarity to GTV features</w:t>
      </w:r>
    </w:p>
    <w:p>
      <w:pPr>
        <w:pStyle w:val="ListParagraph"/>
        <w:numPr>
          <w:ilvl w:val="0"/>
          <w:numId w:val="2"/>
        </w:numPr>
        <w:spacing w:after="50" w:before="40"/>
      </w:pPr>
      <w:r>
        <w:rPr>
          <w:rFonts w:ascii="Arial" w:cs="Arial" w:eastAsia="Arial" w:hAnsi="Arial"/>
          <w:b/>
          <w:bCs/>
          <w:i w:val="false"/>
          <w:iCs w:val="false"/>
          <w:color w:val="222222"/>
          <w:sz w:val="20"/>
          <w:szCs w:val="20"/>
        </w:rPr>
        <w:t xml:space="preserve">Edge features: </w:t>
      </w:r>
      <w:r>
        <w:rPr>
          <w:rFonts w:ascii="Arial" w:cs="Arial" w:eastAsia="Arial" w:hAnsi="Arial"/>
          <w:b w:val="false"/>
          <w:bCs w:val="false"/>
          <w:i w:val="false"/>
          <w:iCs w:val="false"/>
          <w:color w:val="222222"/>
          <w:sz w:val="20"/>
          <w:szCs w:val="20"/>
        </w:rPr>
        <w:t xml:space="preserve">3D Euclidean distance between node centroids in physical space (mm)</w:t>
      </w:r>
    </w:p>
    <w:p>
      <w:pPr>
        <w:pStyle w:val="ListParagraph"/>
        <w:numPr>
          <w:ilvl w:val="0"/>
          <w:numId w:val="2"/>
        </w:numPr>
        <w:spacing w:after="50" w:before="40"/>
      </w:pPr>
      <w:r>
        <w:rPr>
          <w:rFonts w:ascii="Arial" w:cs="Arial" w:eastAsia="Arial" w:hAnsi="Arial"/>
          <w:b/>
          <w:bCs/>
          <w:i w:val="false"/>
          <w:iCs w:val="false"/>
          <w:color w:val="222222"/>
          <w:sz w:val="20"/>
          <w:szCs w:val="20"/>
        </w:rPr>
        <w:t xml:space="preserve">Result: </w:t>
      </w:r>
      <w:r>
        <w:rPr>
          <w:rFonts w:ascii="Arial" w:cs="Arial" w:eastAsia="Arial" w:hAnsi="Arial"/>
          <w:b w:val="false"/>
          <w:bCs w:val="false"/>
          <w:i w:val="false"/>
          <w:iCs w:val="false"/>
          <w:color w:val="222222"/>
          <w:sz w:val="20"/>
          <w:szCs w:val="20"/>
        </w:rPr>
        <w:t xml:space="preserve">a PyTorch Geometric Data object with x, edge_index, edge_attr, and y</w:t>
      </w:r>
    </w:p>
    <w:p>
      <w:pPr>
        <w:spacing w:after="0" w:before="0"/>
      </w:pPr>
    </w:p>
    <w:p>
      <w:pPr>
        <w:pBdr>
          <w:bottom w:val="single" w:color="C8C8C8" w:sz="6"/>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11</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Troubleshooting</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Symptom</w:t>
            </w:r>
          </w:p>
        </w:tc>
        <w:tc>
          <w:tcPr>
            <w:tcW w:type="dxa" w:w="26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Likely cause</w:t>
            </w:r>
          </w:p>
        </w:tc>
        <w:tc>
          <w:tcPr>
            <w:tcW w:type="dxa" w:w="41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olor w:val="FFFFFF"/>
                <w:sz w:val="18"/>
                <w:szCs w:val="18"/>
              </w:rPr>
              <w:t xml:space="preserve">Fix</w:t>
            </w:r>
          </w:p>
        </w:tc>
      </w:tr>
      <w:tr>
        <w:tc>
          <w:tcPr>
            <w:tcW w:type="dxa" w:w="26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n_supervoxels &lt; 20</w:t>
            </w:r>
          </w:p>
        </w:tc>
        <w:tc>
          <w:tcPr>
            <w:tcW w:type="dxa" w:w="26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GTV too large, region too small</w:t>
            </w:r>
          </w:p>
        </w:tc>
        <w:tc>
          <w:tcPr>
            <w:tcW w:type="dxa" w:w="41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Inspect region_array size. Try n_segments=60. Check CT spacing after resampling.</w:t>
            </w:r>
          </w:p>
        </w:tc>
      </w:tr>
      <w:tr>
        <w:tc>
          <w:tcPr>
            <w:tcW w:type="dxa" w:w="26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TypeError: multichannel</w:t>
            </w:r>
          </w:p>
        </w:tc>
        <w:tc>
          <w:tcPr>
            <w:tcW w:type="dxa" w:w="26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scikit-image &lt; 0.20 installed</w:t>
            </w:r>
          </w:p>
        </w:tc>
        <w:tc>
          <w:tcPr>
            <w:tcW w:type="dxa" w:w="41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pip install scikit-image==0.21.0</w:t>
            </w:r>
          </w:p>
        </w:tc>
      </w:tr>
      <w:tr>
        <w:tc>
          <w:tcPr>
            <w:tcW w:type="dxa" w:w="26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GTV voxels have non-zero labels</w:t>
            </w:r>
          </w:p>
        </w:tc>
        <w:tc>
          <w:tcPr>
            <w:tcW w:type="dxa" w:w="26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gtv_array not passed to function</w:t>
            </w:r>
          </w:p>
        </w:tc>
        <w:tc>
          <w:tcPr>
            <w:tcW w:type="dxa" w:w="41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Always pass gtv_array. Check call in preprocess_and_save_all().</w:t>
            </w:r>
          </w:p>
        </w:tc>
      </w:tr>
      <w:tr>
        <w:tc>
          <w:tcPr>
            <w:tcW w:type="dxa" w:w="26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All labels = 1 (single cluster)</w:t>
            </w:r>
          </w:p>
        </w:tc>
        <w:tc>
          <w:tcPr>
            <w:tcW w:type="dxa" w:w="26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peritumoral_mask is all zeros</w:t>
            </w:r>
          </w:p>
        </w:tc>
        <w:tc>
          <w:tcPr>
            <w:tcW w:type="dxa" w:w="41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Check preprocessing.py. Verify region_array is non-empty before Stage 2.</w:t>
            </w:r>
          </w:p>
        </w:tc>
      </w:tr>
      <w:tr>
        <w:tc>
          <w:tcPr>
            <w:tcW w:type="dxa" w:w="26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ValueError: empty region</w:t>
            </w:r>
          </w:p>
        </w:tc>
        <w:tc>
          <w:tcPr>
            <w:tcW w:type="dxa" w:w="260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Zero valid voxels in region</w:t>
            </w:r>
          </w:p>
        </w:tc>
        <w:tc>
          <w:tcPr>
            <w:tcW w:type="dxa" w:w="4160"/>
            <w:tcBorders>
              <w:top w:val="single" w:color="C8C8C8" w:sz="4"/>
              <w:left w:val="single" w:color="C8C8C8" w:sz="4"/>
              <w:bottom w:val="single" w:color="C8C8C8" w:sz="4"/>
              <w:right w:val="single" w:color="C8C8C8" w:sz="4"/>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Add check: if ct_in_region.size == 0 raise early with patient ID and shape info.</w:t>
            </w:r>
          </w:p>
        </w:tc>
      </w:tr>
      <w:tr>
        <w:tc>
          <w:tcPr>
            <w:tcW w:type="dxa" w:w="26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Very irregular supervoxel shapes</w:t>
            </w:r>
          </w:p>
        </w:tc>
        <w:tc>
          <w:tcPr>
            <w:tcW w:type="dxa" w:w="260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Expected — slic_zero adapts locally</w:t>
            </w:r>
          </w:p>
        </w:tc>
        <w:tc>
          <w:tcPr>
            <w:tcW w:type="dxa" w:w="4160"/>
            <w:tcBorders>
              <w:top w:val="single" w:color="C8C8C8" w:sz="4"/>
              <w:left w:val="single" w:color="C8C8C8" w:sz="4"/>
              <w:bottom w:val="single" w:color="C8C8C8" w:sz="4"/>
              <w:right w:val="single" w:color="C8C8C8" w:sz="4"/>
            </w:tcBorders>
            <w:shd w:fill="F7F7F7"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222222"/>
                <w:sz w:val="18"/>
                <w:szCs w:val="18"/>
              </w:rPr>
              <w:t xml:space="preserve">Not a bug. Irregular shapes reflect genuine tissue heterogeneity.</w:t>
            </w:r>
          </w:p>
        </w:tc>
      </w:tr>
    </w:tbl>
    <w:p>
      <w:pPr>
        <w:spacing w:after="0" w:before="0"/>
      </w:pPr>
    </w:p>
    <w:p>
      <w:pPr>
        <w:pBdr>
          <w:bottom w:val="single" w:color="C8C8C8" w:sz="6"/>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E5FA0" w:val="clear"/>
            <w:tcMar>
              <w:top w:type="dxa" w:w="140"/>
              <w:left w:type="dxa" w:w="200"/>
              <w:bottom w:type="dxa" w:w="140"/>
              <w:right w:type="dxa" w:w="200"/>
            </w:tcMar>
            <w:vAlign w:val="center"/>
          </w:tcPr>
          <w:p>
            <w:pPr>
              <w:spacing w:after="0" w:before="0"/>
              <w:jc w:val="center"/>
            </w:pPr>
            <w:r>
              <w:rPr>
                <w:rFonts w:ascii="Arial" w:cs="Arial" w:eastAsia="Arial" w:hAnsi="Arial"/>
                <w:b/>
                <w:bCs/>
                <w:i w:val="false"/>
                <w:iCs w:val="false"/>
                <w:color w:val="FFFFFF"/>
                <w:sz w:val="26"/>
                <w:szCs w:val="26"/>
              </w:rPr>
              <w:t xml:space="preserve">12</w:t>
            </w:r>
          </w:p>
        </w:tc>
        <w:tc>
          <w:tcPr>
            <w:tcW w:type="dxa" w:w="8920"/>
            <w:tcBorders>
              <w:top w:val="none" w:color="FFFFFF" w:sz="0"/>
              <w:left w:val="none" w:color="FFFFFF" w:sz="0"/>
              <w:bottom w:val="none" w:color="FFFFFF" w:sz="0"/>
              <w:right w:val="none" w:color="FFFFFF" w:sz="0"/>
            </w:tcBorders>
            <w:shd w:fill="D6E8F7" w:val="clear"/>
            <w:tcMar>
              <w:top w:type="dxa" w:w="140"/>
              <w:left w:type="dxa" w:w="280"/>
              <w:bottom w:type="dxa" w:w="140"/>
              <w:right w:type="dxa" w:w="200"/>
            </w:tcMar>
            <w:vAlign w:val="center"/>
          </w:tcPr>
          <w:p>
            <w:pPr>
              <w:spacing w:after="0" w:before="0"/>
            </w:pPr>
            <w:r>
              <w:rPr>
                <w:rFonts w:ascii="Arial" w:cs="Arial" w:eastAsia="Arial" w:hAnsi="Arial"/>
                <w:b/>
                <w:bCs/>
                <w:i w:val="false"/>
                <w:iCs w:val="false"/>
                <w:color w:val="1B3A6B"/>
                <w:sz w:val="26"/>
                <w:szCs w:val="26"/>
              </w:rPr>
              <w:t xml:space="preserve">References</w:t>
            </w:r>
          </w:p>
        </w:tc>
      </w:tr>
    </w:tbl>
    <w:p>
      <w:pPr>
        <w:spacing w:after="0" w:before="0"/>
      </w:pPr>
    </w:p>
    <w:p>
      <w:pPr>
        <w:pStyle w:val="ListParagraph"/>
        <w:numPr>
          <w:ilvl w:val="0"/>
          <w:numId w:val="3"/>
        </w:numPr>
        <w:spacing w:after="50" w:before="40"/>
      </w:pPr>
      <w:r>
        <w:rPr>
          <w:rFonts w:ascii="Arial" w:cs="Arial" w:eastAsia="Arial" w:hAnsi="Arial"/>
          <w:b/>
          <w:bCs/>
          <w:i w:val="false"/>
          <w:iCs w:val="false"/>
          <w:color w:val="222222"/>
          <w:sz w:val="20"/>
          <w:szCs w:val="20"/>
        </w:rPr>
        <w:t xml:space="preserve">SLIC algorithm: </w:t>
      </w:r>
      <w:r>
        <w:rPr>
          <w:rFonts w:ascii="Arial" w:cs="Arial" w:eastAsia="Arial" w:hAnsi="Arial"/>
          <w:b w:val="false"/>
          <w:bCs w:val="false"/>
          <w:i w:val="false"/>
          <w:iCs w:val="false"/>
          <w:color w:val="222222"/>
          <w:sz w:val="20"/>
          <w:szCs w:val="20"/>
        </w:rPr>
        <w:t xml:space="preserve">Achanta R, Shaji A, Smith K, Lucchi A, Fua P, Süsstrunk S. SLIC superpixels compared to state-of-the-art superpixel methods. </w:t>
      </w:r>
      <w:r>
        <w:rPr>
          <w:rFonts w:ascii="Arial" w:cs="Arial" w:eastAsia="Arial" w:hAnsi="Arial"/>
          <w:b w:val="false"/>
          <w:bCs w:val="false"/>
          <w:i/>
          <w:iCs/>
          <w:color w:val="222222"/>
          <w:sz w:val="20"/>
          <w:szCs w:val="20"/>
        </w:rPr>
        <w:t xml:space="preserve">IEEE Transactions on Pattern Analysis and Machine Intelligence.</w:t>
      </w:r>
      <w:r>
        <w:rPr>
          <w:rFonts w:ascii="Arial" w:cs="Arial" w:eastAsia="Arial" w:hAnsi="Arial"/>
          <w:b w:val="false"/>
          <w:bCs w:val="false"/>
          <w:i w:val="false"/>
          <w:iCs w:val="false"/>
          <w:color w:val="222222"/>
          <w:sz w:val="20"/>
          <w:szCs w:val="20"/>
        </w:rPr>
        <w:t xml:space="preserve"> 2012;34(11):2274–2282.</w:t>
      </w:r>
    </w:p>
    <w:p>
      <w:pPr>
        <w:pStyle w:val="ListParagraph"/>
        <w:numPr>
          <w:ilvl w:val="0"/>
          <w:numId w:val="3"/>
        </w:numPr>
        <w:spacing w:after="50" w:before="40"/>
      </w:pPr>
      <w:r>
        <w:rPr>
          <w:rFonts w:ascii="Arial" w:cs="Arial" w:eastAsia="Arial" w:hAnsi="Arial"/>
          <w:b/>
          <w:bCs/>
          <w:i w:val="false"/>
          <w:iCs w:val="false"/>
          <w:color w:val="222222"/>
          <w:sz w:val="20"/>
          <w:szCs w:val="20"/>
        </w:rPr>
        <w:t xml:space="preserve">SLIC-zero: </w:t>
      </w:r>
      <w:r>
        <w:rPr>
          <w:rFonts w:ascii="Arial" w:cs="Arial" w:eastAsia="Arial" w:hAnsi="Arial"/>
          <w:b w:val="false"/>
          <w:bCs w:val="false"/>
          <w:i w:val="false"/>
          <w:iCs w:val="false"/>
          <w:color w:val="222222"/>
          <w:sz w:val="20"/>
          <w:szCs w:val="20"/>
        </w:rPr>
        <w:t xml:space="preserve">Section 3.2 of the above paper. Also discussed in: Achanta R, Süsstrunk S. Superpixels and polygons using simple non-iterative clustering (SNIC). </w:t>
      </w:r>
      <w:r>
        <w:rPr>
          <w:rFonts w:ascii="Arial" w:cs="Arial" w:eastAsia="Arial" w:hAnsi="Arial"/>
          <w:b w:val="false"/>
          <w:bCs w:val="false"/>
          <w:i/>
          <w:iCs/>
          <w:color w:val="222222"/>
          <w:sz w:val="20"/>
          <w:szCs w:val="20"/>
        </w:rPr>
        <w:t xml:space="preserve">IEEE CVPR.</w:t>
      </w:r>
      <w:r>
        <w:rPr>
          <w:rFonts w:ascii="Arial" w:cs="Arial" w:eastAsia="Arial" w:hAnsi="Arial"/>
          <w:b w:val="false"/>
          <w:bCs w:val="false"/>
          <w:i w:val="false"/>
          <w:iCs w:val="false"/>
          <w:color w:val="222222"/>
          <w:sz w:val="20"/>
          <w:szCs w:val="20"/>
        </w:rPr>
        <w:t xml:space="preserve"> 2017.</w:t>
      </w:r>
    </w:p>
    <w:p>
      <w:pPr>
        <w:pStyle w:val="ListParagraph"/>
        <w:numPr>
          <w:ilvl w:val="0"/>
          <w:numId w:val="3"/>
        </w:numPr>
        <w:spacing w:after="50" w:before="40"/>
      </w:pPr>
      <w:r>
        <w:rPr>
          <w:rFonts w:ascii="Arial" w:cs="Arial" w:eastAsia="Arial" w:hAnsi="Arial"/>
          <w:b/>
          <w:bCs/>
          <w:i w:val="false"/>
          <w:iCs w:val="false"/>
          <w:color w:val="222222"/>
          <w:sz w:val="20"/>
          <w:szCs w:val="20"/>
        </w:rPr>
        <w:t xml:space="preserve">RadGraph paper: </w:t>
      </w:r>
      <w:r>
        <w:rPr>
          <w:rFonts w:ascii="Arial" w:cs="Arial" w:eastAsia="Arial" w:hAnsi="Arial"/>
          <w:b w:val="false"/>
          <w:bCs w:val="false"/>
          <w:i w:val="false"/>
          <w:iCs w:val="false"/>
          <w:color w:val="222222"/>
          <w:sz w:val="20"/>
          <w:szCs w:val="20"/>
        </w:rPr>
        <w:t xml:space="preserve">Bae J, Mani K, Czerwonka L, Vanison C, Ryu S, Prasanna P. Spatial radiomic graphs for outcome prediction in radiation therapy–treated head and neck squamous cell carcinoma using pretreatment CT. </w:t>
      </w:r>
      <w:r>
        <w:rPr>
          <w:rFonts w:ascii="Arial" w:cs="Arial" w:eastAsia="Arial" w:hAnsi="Arial"/>
          <w:b w:val="false"/>
          <w:bCs w:val="false"/>
          <w:i/>
          <w:iCs/>
          <w:color w:val="222222"/>
          <w:sz w:val="20"/>
          <w:szCs w:val="20"/>
        </w:rPr>
        <w:t xml:space="preserve">Radiology: Imaging Cancer.</w:t>
      </w:r>
      <w:r>
        <w:rPr>
          <w:rFonts w:ascii="Arial" w:cs="Arial" w:eastAsia="Arial" w:hAnsi="Arial"/>
          <w:b w:val="false"/>
          <w:bCs w:val="false"/>
          <w:i w:val="false"/>
          <w:iCs w:val="false"/>
          <w:color w:val="222222"/>
          <w:sz w:val="20"/>
          <w:szCs w:val="20"/>
        </w:rPr>
        <w:t xml:space="preserve"> 2025.</w:t>
      </w:r>
    </w:p>
    <w:p>
      <w:pPr>
        <w:pStyle w:val="ListParagraph"/>
        <w:numPr>
          <w:ilvl w:val="0"/>
          <w:numId w:val="3"/>
        </w:numPr>
        <w:spacing w:after="50" w:before="40"/>
      </w:pPr>
      <w:r>
        <w:rPr>
          <w:rFonts w:ascii="Arial" w:cs="Arial" w:eastAsia="Arial" w:hAnsi="Arial"/>
          <w:b/>
          <w:bCs/>
          <w:i w:val="false"/>
          <w:iCs w:val="false"/>
          <w:color w:val="222222"/>
          <w:sz w:val="20"/>
          <w:szCs w:val="20"/>
        </w:rPr>
        <w:t xml:space="preserve">PyRadiomics: </w:t>
      </w:r>
      <w:r>
        <w:rPr>
          <w:rFonts w:ascii="Arial" w:cs="Arial" w:eastAsia="Arial" w:hAnsi="Arial"/>
          <w:b w:val="false"/>
          <w:bCs w:val="false"/>
          <w:i w:val="false"/>
          <w:iCs w:val="false"/>
          <w:color w:val="222222"/>
          <w:sz w:val="20"/>
          <w:szCs w:val="20"/>
        </w:rPr>
        <w:t xml:space="preserve">van Griethuysen JJM, Fedorov A, Parmar C, et al. Computational radiomics system to decode the radiographic phenotype. </w:t>
      </w:r>
      <w:r>
        <w:rPr>
          <w:rFonts w:ascii="Arial" w:cs="Arial" w:eastAsia="Arial" w:hAnsi="Arial"/>
          <w:b w:val="false"/>
          <w:bCs w:val="false"/>
          <w:i/>
          <w:iCs/>
          <w:color w:val="222222"/>
          <w:sz w:val="20"/>
          <w:szCs w:val="20"/>
        </w:rPr>
        <w:t xml:space="preserve">Cancer Research.</w:t>
      </w:r>
      <w:r>
        <w:rPr>
          <w:rFonts w:ascii="Arial" w:cs="Arial" w:eastAsia="Arial" w:hAnsi="Arial"/>
          <w:b w:val="false"/>
          <w:bCs w:val="false"/>
          <w:i w:val="false"/>
          <w:iCs w:val="false"/>
          <w:color w:val="222222"/>
          <w:sz w:val="20"/>
          <w:szCs w:val="20"/>
        </w:rPr>
        <w:t xml:space="preserve"> 2017;77(21):e104–e107.</w:t>
      </w:r>
    </w:p>
    <w:p>
      <w:pPr>
        <w:pStyle w:val="ListParagraph"/>
        <w:numPr>
          <w:ilvl w:val="0"/>
          <w:numId w:val="3"/>
        </w:numPr>
        <w:spacing w:after="50" w:before="40"/>
      </w:pPr>
      <w:r>
        <w:rPr>
          <w:rFonts w:ascii="Arial" w:cs="Arial" w:eastAsia="Arial" w:hAnsi="Arial"/>
          <w:b/>
          <w:bCs/>
          <w:i w:val="false"/>
          <w:iCs w:val="false"/>
          <w:color w:val="222222"/>
          <w:sz w:val="20"/>
          <w:szCs w:val="20"/>
        </w:rPr>
        <w:t xml:space="preserve">scikit-image: </w:t>
      </w:r>
      <w:r>
        <w:rPr>
          <w:rFonts w:ascii="Arial" w:cs="Arial" w:eastAsia="Arial" w:hAnsi="Arial"/>
          <w:b w:val="false"/>
          <w:bCs w:val="false"/>
          <w:i w:val="false"/>
          <w:iCs w:val="false"/>
          <w:color w:val="222222"/>
          <w:sz w:val="20"/>
          <w:szCs w:val="20"/>
        </w:rPr>
        <w:t xml:space="preserve">scikit-image team. skimage.segmentation.slic. https://scikit-image.org/docs/stable/api/skimage.segmentation.html</w:t>
      </w:r>
    </w:p>
    <w:p>
      <w:pPr>
        <w:spacing w:after="0" w:before="0"/>
      </w:pPr>
    </w:p>
    <w:p>
      <w:pPr>
        <w:spacing w:after="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spacing w:after="0" w:before="0"/>
      <w:jc w:val="center"/>
    </w:pPr>
    <w:r>
      <w:rPr>
        <w:rFonts w:ascii="Arial" w:cs="Arial" w:eastAsia="Arial" w:hAnsi="Arial"/>
        <w:b w:val="false"/>
        <w:bCs w:val="false"/>
        <w:i w:val="false"/>
        <w:iCs w:val="false"/>
        <w:color w:val="888888"/>
        <w:sz w:val="16"/>
        <w:szCs w:val="16"/>
      </w:rPr>
      <w:t xml:space="preserve">supervoxel_generator.py   ·   Bae et al., Radiology: Imaging Cancer 2025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FA0" w:sz="8"/>
      </w:pBdr>
      <w:tabs>
        <w:tab w:val="right" w:pos="9026"/>
      </w:tabs>
      <w:spacing w:after="0" w:before="0"/>
    </w:pPr>
    <w:r>
      <w:rPr>
        <w:rFonts w:ascii="Arial" w:cs="Arial" w:eastAsia="Arial" w:hAnsi="Arial"/>
        <w:b/>
        <w:bCs/>
        <w:i w:val="false"/>
        <w:iCs w:val="false"/>
        <w:color w:val="1B3A6B"/>
        <w:sz w:val="17"/>
        <w:szCs w:val="17"/>
      </w:rPr>
      <w:t xml:space="preserve">Stage 2  —  SLIC Supervoxel Generation</w:t>
    </w:r>
    <w:r>
      <w:rPr>
        <w:rFonts w:ascii="Arial" w:cs="Arial" w:eastAsia="Arial" w:hAnsi="Arial"/>
        <w:b w:val="false"/>
        <w:bCs w:val="false"/>
        <w:i w:val="false"/>
        <w:iCs w:val="false"/>
        <w:color w:val="888888"/>
        <w:sz w:val="17"/>
        <w:szCs w:val="17"/>
      </w:rPr>
      <w:t xml:space="preserve">	RadGraph GNN  ·  CMC Vellore  ·  QIRAIL Laboratory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400"/>
      <w:outlineLvl w:val="0"/>
    </w:pPr>
    <w:rPr>
      <w:rFonts w:ascii="Arial" w:cs="Arial" w:eastAsia="Arial" w:hAnsi="Arial"/>
      <w:b/>
      <w:bCs/>
      <w:color w:val="1E5FA0"/>
      <w:sz w:val="30"/>
      <w:szCs w:val="30"/>
    </w:rPr>
  </w:style>
  <w:style w:type="paragraph" w:styleId="Heading2">
    <w:name w:val="Heading 2"/>
    <w:basedOn w:val="Normal"/>
    <w:next w:val="Normal"/>
    <w:qFormat/>
    <w:pPr>
      <w:spacing w:after="60" w:before="300"/>
      <w:outlineLvl w:val="1"/>
    </w:pPr>
    <w:rPr>
      <w:rFonts w:ascii="Arial" w:cs="Arial" w:eastAsia="Arial" w:hAnsi="Arial"/>
      <w:b/>
      <w:bCs/>
      <w:color w:val="0D6B6B"/>
      <w:sz w:val="23"/>
      <w:szCs w:val="23"/>
    </w:rPr>
  </w:style>
  <w:style w:type="paragraph" w:styleId="Heading3">
    <w:name w:val="Heading 3"/>
    <w:basedOn w:val="Normal"/>
    <w:next w:val="Normal"/>
    <w:qFormat/>
    <w:pPr>
      <w:spacing w:after="60" w:before="220"/>
      <w:outlineLvl w:val="2"/>
    </w:pPr>
    <w:rPr>
      <w:rFonts w:ascii="Arial" w:cs="Arial" w:eastAsia="Arial" w:hAnsi="Arial"/>
      <w:b/>
      <w:bCs/>
      <w:color w:val="4A308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2026-05-07T07:27:22.478Z</dcterms:created>
  <dcterms:modified xsi:type="dcterms:W3CDTF">2026-05-07T07:27:22.478Z</dcterms:modified>
</cp:coreProperties>
</file>

<file path=docProps/custom.xml><?xml version="1.0" encoding="utf-8"?>
<Properties xmlns="http://schemas.openxmlformats.org/officeDocument/2006/custom-properties" xmlns:vt="http://schemas.openxmlformats.org/officeDocument/2006/docPropsVTypes"/>
</file>