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Calibri" w:cs="Calibri" w:eastAsia="Calibri" w:hAnsi="Calibri"/>
          <w:b w:val="false"/>
          <w:bCs w:val="false"/>
          <w:color w:val="8DA9C4"/>
          <w:sz w:val="20"/>
          <w:szCs w:val="20"/>
        </w:rPr>
        <w:t xml:space="preserve">Literature Review</w:t>
      </w:r>
    </w:p>
    <w:p>
      <w:pPr>
        <w:spacing w:after="80" w:before="40"/>
        <w:jc w:val="left"/>
      </w:pPr>
      <w:r>
        <w:rPr>
          <w:rFonts w:ascii="Georgia" w:cs="Georgia" w:eastAsia="Georgia" w:hAnsi="Georgia"/>
          <w:b/>
          <w:bCs/>
          <w:color w:val="0B2545"/>
          <w:sz w:val="36"/>
          <w:szCs w:val="36"/>
        </w:rPr>
        <w:t xml:space="preserve">Towards a Standardized Methodology and Dataset for Evaluating LLM-based Digital Forensic Timeline Analysis</w:t>
      </w:r>
    </w:p>
    <w:p>
      <w:pPr>
        <w:spacing w:after="40"/>
      </w:pPr>
      <w:r>
        <w:rPr>
          <w:rFonts w:ascii="Calibri" w:cs="Calibri" w:eastAsia="Calibri" w:hAnsi="Calibri"/>
          <w:b/>
          <w:bCs/>
          <w:sz w:val="24"/>
          <w:szCs w:val="24"/>
        </w:rPr>
        <w:t xml:space="preserve">Studiawan, H., Breitinger, F., &amp; Scanlon, M.</w:t>
      </w:r>
    </w:p>
    <w:p>
      <w:pPr>
        <w:spacing w:after="40"/>
      </w:pPr>
      <w:r>
        <w:rPr>
          <w:rFonts w:ascii="Calibri" w:cs="Calibri" w:eastAsia="Calibri" w:hAnsi="Calibri"/>
          <w:i/>
          <w:iCs/>
          <w:color w:val="5B6B83"/>
          <w:sz w:val="22"/>
          <w:szCs w:val="22"/>
        </w:rPr>
        <w:t xml:space="preserve">Forensic Science International: Digital Investigation, Vol. 54, 2025 · DFRWS APAC 2025 · arXiv:2505.03100</w:t>
      </w:r>
    </w:p>
    <w:p>
      <w:pPr>
        <w:spacing w:after="280"/>
      </w:pPr>
      <w:r>
        <w:rPr>
          <w:rFonts w:ascii="Calibri" w:cs="Calibri" w:eastAsia="Calibri" w:hAnsi="Calibri"/>
          <w:color w:val="5B6B83"/>
          <w:sz w:val="22"/>
          <w:szCs w:val="22"/>
        </w:rPr>
        <w:t xml:space="preserve">Prepared by: hash71</w:t>
      </w:r>
    </w:p>
    <w:p>
      <w:pPr>
        <w:pBdr>
          <w:bottom w:val="single" w:color="0B2545" w:sz="8" w:space="1"/>
        </w:pBdr>
        <w:spacing w:after="200"/>
      </w:pPr>
      <w:r>
        <w:t xml:space="preserve"/>
      </w:r>
    </w:p>
    <w:p>
      <w:pPr>
        <w:pStyle w:val="Heading1"/>
        <w:spacing w:after="180" w:before="320"/>
      </w:pPr>
      <w:r>
        <w:rPr>
          <w:rFonts w:ascii="Georgia" w:cs="Georgia" w:eastAsia="Georgia" w:hAnsi="Georgia"/>
          <w:b/>
          <w:bCs/>
          <w:color w:val="0B2545"/>
          <w:sz w:val="32"/>
          <w:szCs w:val="32"/>
        </w:rPr>
        <w:t xml:space="preserve">1. Paper at a glance</w:t>
      </w:r>
    </w:p>
    <w:p>
      <w:pPr>
        <w:spacing w:after="140" w:line="300"/>
      </w:pPr>
      <w:r>
        <w:rPr>
          <w:rFonts w:ascii="Calibri" w:cs="Calibri" w:eastAsia="Calibri" w:hAnsi="Calibri"/>
          <w:sz w:val="22"/>
          <w:szCs w:val="22"/>
        </w:rPr>
        <w:t xml:space="preserve">The following table captures the paper's identifying metadata for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8DA9C4" w:sz="4"/>
              <w:left w:val="single" w:color="8DA9C4" w:sz="4"/>
              <w:bottom w:val="single" w:color="8DA9C4" w:sz="4"/>
              <w:right w:val="single" w:color="8DA9C4" w:sz="4"/>
            </w:tcBorders>
            <w:shd w:fill="EEF4ED" w:val="clear"/>
            <w:tcMar>
              <w:top w:type="dxa" w:w="100"/>
              <w:left w:type="dxa" w:w="140"/>
              <w:bottom w:type="dxa" w:w="100"/>
              <w:right w:type="dxa" w:w="140"/>
            </w:tcMar>
          </w:tcPr>
          <w:p>
            <w:r>
              <w:rPr>
                <w:rFonts w:ascii="Calibri" w:cs="Calibri" w:eastAsia="Calibri" w:hAnsi="Calibri"/>
                <w:b/>
                <w:bCs/>
                <w:color w:val="0B2545"/>
                <w:sz w:val="22"/>
                <w:szCs w:val="22"/>
              </w:rPr>
              <w:t xml:space="preserve">Full title</w:t>
            </w:r>
          </w:p>
        </w:tc>
        <w:tc>
          <w:tcPr>
            <w:tcW w:type="dxa" w:w="6660"/>
            <w:tcBorders>
              <w:top w:val="single" w:color="8DA9C4" w:sz="4"/>
              <w:left w:val="single" w:color="8DA9C4" w:sz="4"/>
              <w:bottom w:val="single" w:color="8DA9C4" w:sz="4"/>
              <w:right w:val="single" w:color="8DA9C4"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Towards a Standardized Methodology and Dataset for Evaluating LLM-based Digital Forensic Timeline Analysis</w:t>
            </w:r>
          </w:p>
        </w:tc>
      </w:tr>
      <w:tr>
        <w:tc>
          <w:tcPr>
            <w:tcW w:type="dxa" w:w="2700"/>
            <w:tcBorders>
              <w:top w:val="single" w:color="8DA9C4" w:sz="4"/>
              <w:left w:val="single" w:color="8DA9C4" w:sz="4"/>
              <w:bottom w:val="single" w:color="8DA9C4" w:sz="4"/>
              <w:right w:val="single" w:color="8DA9C4" w:sz="4"/>
            </w:tcBorders>
            <w:shd w:fill="EEF4ED" w:val="clear"/>
            <w:tcMar>
              <w:top w:type="dxa" w:w="100"/>
              <w:left w:type="dxa" w:w="140"/>
              <w:bottom w:type="dxa" w:w="100"/>
              <w:right w:type="dxa" w:w="140"/>
            </w:tcMar>
          </w:tcPr>
          <w:p>
            <w:r>
              <w:rPr>
                <w:rFonts w:ascii="Calibri" w:cs="Calibri" w:eastAsia="Calibri" w:hAnsi="Calibri"/>
                <w:b/>
                <w:bCs/>
                <w:color w:val="0B2545"/>
                <w:sz w:val="22"/>
                <w:szCs w:val="22"/>
              </w:rPr>
              <w:t xml:space="preserve">Authors</w:t>
            </w:r>
          </w:p>
        </w:tc>
        <w:tc>
          <w:tcPr>
            <w:tcW w:type="dxa" w:w="6660"/>
            <w:tcBorders>
              <w:top w:val="single" w:color="8DA9C4" w:sz="4"/>
              <w:left w:val="single" w:color="8DA9C4" w:sz="4"/>
              <w:bottom w:val="single" w:color="8DA9C4" w:sz="4"/>
              <w:right w:val="single" w:color="8DA9C4"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Hudan Studiawan, Frank Breitinger, Mark Scanlon</w:t>
            </w:r>
          </w:p>
        </w:tc>
      </w:tr>
      <w:tr>
        <w:tc>
          <w:tcPr>
            <w:tcW w:type="dxa" w:w="2700"/>
            <w:tcBorders>
              <w:top w:val="single" w:color="8DA9C4" w:sz="4"/>
              <w:left w:val="single" w:color="8DA9C4" w:sz="4"/>
              <w:bottom w:val="single" w:color="8DA9C4" w:sz="4"/>
              <w:right w:val="single" w:color="8DA9C4" w:sz="4"/>
            </w:tcBorders>
            <w:shd w:fill="EEF4ED" w:val="clear"/>
            <w:tcMar>
              <w:top w:type="dxa" w:w="100"/>
              <w:left w:type="dxa" w:w="140"/>
              <w:bottom w:type="dxa" w:w="100"/>
              <w:right w:type="dxa" w:w="140"/>
            </w:tcMar>
          </w:tcPr>
          <w:p>
            <w:r>
              <w:rPr>
                <w:rFonts w:ascii="Calibri" w:cs="Calibri" w:eastAsia="Calibri" w:hAnsi="Calibri"/>
                <w:b/>
                <w:bCs/>
                <w:color w:val="0B2545"/>
                <w:sz w:val="22"/>
                <w:szCs w:val="22"/>
              </w:rPr>
              <w:t xml:space="preserve">Venue</w:t>
            </w:r>
          </w:p>
        </w:tc>
        <w:tc>
          <w:tcPr>
            <w:tcW w:type="dxa" w:w="6660"/>
            <w:tcBorders>
              <w:top w:val="single" w:color="8DA9C4" w:sz="4"/>
              <w:left w:val="single" w:color="8DA9C4" w:sz="4"/>
              <w:bottom w:val="single" w:color="8DA9C4" w:sz="4"/>
              <w:right w:val="single" w:color="8DA9C4"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Forensic Science International: Digital Investigation (FSI: DI), Vol. 54, 2025</w:t>
            </w:r>
          </w:p>
        </w:tc>
      </w:tr>
      <w:tr>
        <w:tc>
          <w:tcPr>
            <w:tcW w:type="dxa" w:w="2700"/>
            <w:tcBorders>
              <w:top w:val="single" w:color="8DA9C4" w:sz="4"/>
              <w:left w:val="single" w:color="8DA9C4" w:sz="4"/>
              <w:bottom w:val="single" w:color="8DA9C4" w:sz="4"/>
              <w:right w:val="single" w:color="8DA9C4" w:sz="4"/>
            </w:tcBorders>
            <w:shd w:fill="EEF4ED" w:val="clear"/>
            <w:tcMar>
              <w:top w:type="dxa" w:w="100"/>
              <w:left w:type="dxa" w:w="140"/>
              <w:bottom w:type="dxa" w:w="100"/>
              <w:right w:type="dxa" w:w="140"/>
            </w:tcMar>
          </w:tcPr>
          <w:p>
            <w:r>
              <w:rPr>
                <w:rFonts w:ascii="Calibri" w:cs="Calibri" w:eastAsia="Calibri" w:hAnsi="Calibri"/>
                <w:b/>
                <w:bCs/>
                <w:color w:val="0B2545"/>
                <w:sz w:val="22"/>
                <w:szCs w:val="22"/>
              </w:rPr>
              <w:t xml:space="preserve">Track</w:t>
            </w:r>
          </w:p>
        </w:tc>
        <w:tc>
          <w:tcPr>
            <w:tcW w:type="dxa" w:w="6660"/>
            <w:tcBorders>
              <w:top w:val="single" w:color="8DA9C4" w:sz="4"/>
              <w:left w:val="single" w:color="8DA9C4" w:sz="4"/>
              <w:bottom w:val="single" w:color="8DA9C4" w:sz="4"/>
              <w:right w:val="single" w:color="8DA9C4"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DFRWS APAC 2025</w:t>
            </w:r>
          </w:p>
        </w:tc>
      </w:tr>
      <w:tr>
        <w:tc>
          <w:tcPr>
            <w:tcW w:type="dxa" w:w="2700"/>
            <w:tcBorders>
              <w:top w:val="single" w:color="8DA9C4" w:sz="4"/>
              <w:left w:val="single" w:color="8DA9C4" w:sz="4"/>
              <w:bottom w:val="single" w:color="8DA9C4" w:sz="4"/>
              <w:right w:val="single" w:color="8DA9C4" w:sz="4"/>
            </w:tcBorders>
            <w:shd w:fill="EEF4ED" w:val="clear"/>
            <w:tcMar>
              <w:top w:type="dxa" w:w="100"/>
              <w:left w:type="dxa" w:w="140"/>
              <w:bottom w:type="dxa" w:w="100"/>
              <w:right w:type="dxa" w:w="140"/>
            </w:tcMar>
          </w:tcPr>
          <w:p>
            <w:r>
              <w:rPr>
                <w:rFonts w:ascii="Calibri" w:cs="Calibri" w:eastAsia="Calibri" w:hAnsi="Calibri"/>
                <w:b/>
                <w:bCs/>
                <w:color w:val="0B2545"/>
                <w:sz w:val="22"/>
                <w:szCs w:val="22"/>
              </w:rPr>
              <w:t xml:space="preserve">arXiv</w:t>
            </w:r>
          </w:p>
        </w:tc>
        <w:tc>
          <w:tcPr>
            <w:tcW w:type="dxa" w:w="6660"/>
            <w:tcBorders>
              <w:top w:val="single" w:color="8DA9C4" w:sz="4"/>
              <w:left w:val="single" w:color="8DA9C4" w:sz="4"/>
              <w:bottom w:val="single" w:color="8DA9C4" w:sz="4"/>
              <w:right w:val="single" w:color="8DA9C4"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2505.03100</w:t>
            </w:r>
          </w:p>
        </w:tc>
      </w:tr>
      <w:tr>
        <w:tc>
          <w:tcPr>
            <w:tcW w:type="dxa" w:w="2700"/>
            <w:tcBorders>
              <w:top w:val="single" w:color="8DA9C4" w:sz="4"/>
              <w:left w:val="single" w:color="8DA9C4" w:sz="4"/>
              <w:bottom w:val="single" w:color="8DA9C4" w:sz="4"/>
              <w:right w:val="single" w:color="8DA9C4" w:sz="4"/>
            </w:tcBorders>
            <w:shd w:fill="EEF4ED" w:val="clear"/>
            <w:tcMar>
              <w:top w:type="dxa" w:w="100"/>
              <w:left w:type="dxa" w:w="140"/>
              <w:bottom w:type="dxa" w:w="100"/>
              <w:right w:type="dxa" w:w="140"/>
            </w:tcMar>
          </w:tcPr>
          <w:p>
            <w:r>
              <w:rPr>
                <w:rFonts w:ascii="Calibri" w:cs="Calibri" w:eastAsia="Calibri" w:hAnsi="Calibri"/>
                <w:b/>
                <w:bCs/>
                <w:color w:val="0B2545"/>
                <w:sz w:val="22"/>
                <w:szCs w:val="22"/>
              </w:rPr>
              <w:t xml:space="preserve">Paper type</w:t>
            </w:r>
          </w:p>
        </w:tc>
        <w:tc>
          <w:tcPr>
            <w:tcW w:type="dxa" w:w="6660"/>
            <w:tcBorders>
              <w:top w:val="single" w:color="8DA9C4" w:sz="4"/>
              <w:left w:val="single" w:color="8DA9C4" w:sz="4"/>
              <w:bottom w:val="single" w:color="8DA9C4" w:sz="4"/>
              <w:right w:val="single" w:color="8DA9C4"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Methodology / benchmark</w:t>
            </w:r>
          </w:p>
        </w:tc>
      </w:tr>
      <w:tr>
        <w:tc>
          <w:tcPr>
            <w:tcW w:type="dxa" w:w="2700"/>
            <w:tcBorders>
              <w:top w:val="single" w:color="8DA9C4" w:sz="4"/>
              <w:left w:val="single" w:color="8DA9C4" w:sz="4"/>
              <w:bottom w:val="single" w:color="8DA9C4" w:sz="4"/>
              <w:right w:val="single" w:color="8DA9C4" w:sz="4"/>
            </w:tcBorders>
            <w:shd w:fill="EEF4ED" w:val="clear"/>
            <w:tcMar>
              <w:top w:type="dxa" w:w="100"/>
              <w:left w:type="dxa" w:w="140"/>
              <w:bottom w:type="dxa" w:w="100"/>
              <w:right w:type="dxa" w:w="140"/>
            </w:tcMar>
          </w:tcPr>
          <w:p>
            <w:r>
              <w:rPr>
                <w:rFonts w:ascii="Calibri" w:cs="Calibri" w:eastAsia="Calibri" w:hAnsi="Calibri"/>
                <w:b/>
                <w:bCs/>
                <w:color w:val="0B2545"/>
                <w:sz w:val="22"/>
                <w:szCs w:val="22"/>
              </w:rPr>
              <w:t xml:space="preserve">Primary model</w:t>
            </w:r>
          </w:p>
        </w:tc>
        <w:tc>
          <w:tcPr>
            <w:tcW w:type="dxa" w:w="6660"/>
            <w:tcBorders>
              <w:top w:val="single" w:color="8DA9C4" w:sz="4"/>
              <w:left w:val="single" w:color="8DA9C4" w:sz="4"/>
              <w:bottom w:val="single" w:color="8DA9C4" w:sz="4"/>
              <w:right w:val="single" w:color="8DA9C4"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OpenAI ChatGPT-4o</w:t>
            </w:r>
          </w:p>
        </w:tc>
      </w:tr>
      <w:tr>
        <w:tc>
          <w:tcPr>
            <w:tcW w:type="dxa" w:w="2700"/>
            <w:tcBorders>
              <w:top w:val="single" w:color="8DA9C4" w:sz="4"/>
              <w:left w:val="single" w:color="8DA9C4" w:sz="4"/>
              <w:bottom w:val="single" w:color="8DA9C4" w:sz="4"/>
              <w:right w:val="single" w:color="8DA9C4" w:sz="4"/>
            </w:tcBorders>
            <w:shd w:fill="EEF4ED" w:val="clear"/>
            <w:tcMar>
              <w:top w:type="dxa" w:w="100"/>
              <w:left w:type="dxa" w:w="140"/>
              <w:bottom w:type="dxa" w:w="100"/>
              <w:right w:type="dxa" w:w="140"/>
            </w:tcMar>
          </w:tcPr>
          <w:p>
            <w:r>
              <w:rPr>
                <w:rFonts w:ascii="Calibri" w:cs="Calibri" w:eastAsia="Calibri" w:hAnsi="Calibri"/>
                <w:b/>
                <w:bCs/>
                <w:color w:val="0B2545"/>
                <w:sz w:val="22"/>
                <w:szCs w:val="22"/>
              </w:rPr>
              <w:t xml:space="preserve">Dataset</w:t>
            </w:r>
          </w:p>
        </w:tc>
        <w:tc>
          <w:tcPr>
            <w:tcW w:type="dxa" w:w="6660"/>
            <w:tcBorders>
              <w:top w:val="single" w:color="8DA9C4" w:sz="4"/>
              <w:left w:val="single" w:color="8DA9C4" w:sz="4"/>
              <w:bottom w:val="single" w:color="8DA9C4" w:sz="4"/>
              <w:right w:val="single" w:color="8DA9C4"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Windows 11 super-timeline (Plaso), released on Zenodo</w:t>
            </w:r>
          </w:p>
        </w:tc>
      </w:tr>
      <w:tr>
        <w:tc>
          <w:tcPr>
            <w:tcW w:type="dxa" w:w="2700"/>
            <w:tcBorders>
              <w:top w:val="single" w:color="8DA9C4" w:sz="4"/>
              <w:left w:val="single" w:color="8DA9C4" w:sz="4"/>
              <w:bottom w:val="single" w:color="8DA9C4" w:sz="4"/>
              <w:right w:val="single" w:color="8DA9C4" w:sz="4"/>
            </w:tcBorders>
            <w:shd w:fill="EEF4ED" w:val="clear"/>
            <w:tcMar>
              <w:top w:type="dxa" w:w="100"/>
              <w:left w:type="dxa" w:w="140"/>
              <w:bottom w:type="dxa" w:w="100"/>
              <w:right w:type="dxa" w:w="140"/>
            </w:tcMar>
          </w:tcPr>
          <w:p>
            <w:r>
              <w:rPr>
                <w:rFonts w:ascii="Calibri" w:cs="Calibri" w:eastAsia="Calibri" w:hAnsi="Calibri"/>
                <w:b/>
                <w:bCs/>
                <w:color w:val="0B2545"/>
                <w:sz w:val="22"/>
                <w:szCs w:val="22"/>
              </w:rPr>
              <w:t xml:space="preserve">Metrics</w:t>
            </w:r>
          </w:p>
        </w:tc>
        <w:tc>
          <w:tcPr>
            <w:tcW w:type="dxa" w:w="6660"/>
            <w:tcBorders>
              <w:top w:val="single" w:color="8DA9C4" w:sz="4"/>
              <w:left w:val="single" w:color="8DA9C4" w:sz="4"/>
              <w:bottom w:val="single" w:color="8DA9C4" w:sz="4"/>
              <w:right w:val="single" w:color="8DA9C4"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BLEU, ROUGE</w:t>
            </w:r>
          </w:p>
        </w:tc>
      </w:tr>
    </w:tbl>
    <w:p>
      <w:pPr>
        <w:spacing w:after="140"/>
      </w:pPr>
      <w:r>
        <w:rPr>
          <w:rFonts w:ascii="Calibri" w:cs="Calibri" w:eastAsia="Calibri" w:hAnsi="Calibri"/>
          <w:sz w:val="22"/>
          <w:szCs w:val="22"/>
        </w:rPr>
        <w:t xml:space="preserve"/>
      </w:r>
    </w:p>
    <w:p>
      <w:pPr>
        <w:spacing w:after="140" w:line="300"/>
      </w:pPr>
      <w:r>
        <w:rPr>
          <w:rFonts w:ascii="Calibri" w:cs="Calibri" w:eastAsia="Calibri" w:hAnsi="Calibri"/>
          <w:i/>
          <w:iCs/>
          <w:color w:val="5B6B83"/>
          <w:sz w:val="22"/>
          <w:szCs w:val="22"/>
        </w:rPr>
        <w:t xml:space="preserve">The paper's objective is stated unambiguously: to define a shared, NIST-CFTT-inspired evaluation methodology for LLM-based digital forensic timeline analysis and to release a reference dataset and baseline numbers that the community can compare against.</w:t>
      </w:r>
    </w:p>
    <w:p>
      <w:pPr>
        <w:pStyle w:val="Heading1"/>
        <w:spacing w:after="180" w:before="320"/>
      </w:pPr>
      <w:r>
        <w:rPr>
          <w:rFonts w:ascii="Georgia" w:cs="Georgia" w:eastAsia="Georgia" w:hAnsi="Georgia"/>
          <w:b/>
          <w:bCs/>
          <w:color w:val="0B2545"/>
          <w:sz w:val="32"/>
          <w:szCs w:val="32"/>
        </w:rPr>
        <w:t xml:space="preserve">2. Motivation and research gap</w:t>
      </w:r>
    </w:p>
    <w:p>
      <w:pPr>
        <w:spacing w:after="140" w:line="300"/>
      </w:pPr>
      <w:r>
        <w:rPr>
          <w:rFonts w:ascii="Calibri" w:cs="Calibri" w:eastAsia="Calibri" w:hAnsi="Calibri"/>
          <w:sz w:val="22"/>
          <w:szCs w:val="22"/>
        </w:rPr>
        <w:t xml:space="preserve">Digital forensic analysts are under pressure. Modern operating systems produce tens of thousands of events per hour, across filesystems, registries, event logs, browser histories, application caches, and network telemetry. Reconstructing "what happened" from these streams is the central problem of timeline analysis, and it has traditionally been solved by a mix of rule-based tools (Plaso, log2timeline, Sleuthkit) and experienced human investigators.</w:t>
      </w:r>
    </w:p>
    <w:p>
      <w:pPr>
        <w:spacing w:after="140" w:line="300"/>
      </w:pPr>
      <w:r>
        <w:rPr>
          <w:rFonts w:ascii="Calibri" w:cs="Calibri" w:eastAsia="Calibri" w:hAnsi="Calibri"/>
          <w:sz w:val="22"/>
          <w:szCs w:val="22"/>
        </w:rPr>
        <w:t xml:space="preserve">In the last two years, forensic researchers have begun to experiment with large language models as a way to lighten that cognitive load. Papers have appeared showing LLMs summarising event logs, generating incident narratives, answering free-text investigator queries, and extracting indicators of compromise from raw timelines. The excitement is real: LLMs can talk about forensic artefacts in fluent natural language, and they can operate on heterogeneous inputs without a hand-written parser for every log type.</w:t>
      </w:r>
    </w:p>
    <w:p>
      <w:pPr>
        <w:spacing w:after="140" w:line="300"/>
      </w:pPr>
      <w:r>
        <w:rPr>
          <w:rFonts w:ascii="Calibri" w:cs="Calibri" w:eastAsia="Calibri" w:hAnsi="Calibri"/>
          <w:b w:val="false"/>
          <w:bCs w:val="false"/>
          <w:i w:val="false"/>
          <w:iCs w:val="false"/>
          <w:sz w:val="22"/>
          <w:szCs w:val="22"/>
        </w:rPr>
        <w:t xml:space="preserve">However, Scanlon and colleagues argue that this excitement has outrun the discipline. </w:t>
      </w:r>
      <w:r>
        <w:rPr>
          <w:rFonts w:ascii="Calibri" w:cs="Calibri" w:eastAsia="Calibri" w:hAnsi="Calibri"/>
          <w:b/>
          <w:bCs/>
          <w:i w:val="false"/>
          <w:iCs w:val="false"/>
          <w:sz w:val="22"/>
          <w:szCs w:val="22"/>
        </w:rPr>
        <w:t xml:space="preserve">Every published LLM-forensics result uses a different dataset, a different model, a different prompt structure, and a different way of deciding whether the output was "correct."</w:t>
      </w:r>
      <w:r>
        <w:rPr>
          <w:rFonts w:ascii="Calibri" w:cs="Calibri" w:eastAsia="Calibri" w:hAnsi="Calibri"/>
          <w:b w:val="false"/>
          <w:bCs w:val="false"/>
          <w:i w:val="false"/>
          <w:iCs w:val="false"/>
          <w:sz w:val="22"/>
          <w:szCs w:val="22"/>
        </w:rPr>
        <w:t xml:space="preserve"> A reader cannot tell whether a 90% success rate reported in one paper is better than the 75% reported in another, because the underlying scenarios, prompts, and scoring rubrics are incomparable.</w:t>
      </w:r>
    </w:p>
    <w:p>
      <w:pPr>
        <w:spacing w:after="140" w:line="300"/>
      </w:pPr>
      <w:r>
        <w:rPr>
          <w:rFonts w:ascii="Calibri" w:cs="Calibri" w:eastAsia="Calibri" w:hAnsi="Calibri"/>
          <w:sz w:val="22"/>
          <w:szCs w:val="22"/>
        </w:rPr>
        <w:t xml:space="preserve">The authors identify three structural gaps that together prevent the field from progressing:</w:t>
      </w:r>
    </w:p>
    <w:p>
      <w:pPr>
        <w:pStyle w:val="ListParagraph"/>
        <w:numPr>
          <w:ilvl w:val="0"/>
          <w:numId w:val="2"/>
        </w:numPr>
        <w:spacing w:after="80" w:line="280"/>
      </w:pPr>
      <w:r>
        <w:rPr>
          <w:rFonts w:ascii="Calibri" w:cs="Calibri" w:eastAsia="Calibri" w:hAnsi="Calibri"/>
          <w:sz w:val="22"/>
          <w:szCs w:val="22"/>
        </w:rPr>
        <w:t xml:space="preserve">There is no shared reference dataset. Every research group instruments its own environment and reports results that cannot be reproduced elsewhere.</w:t>
      </w:r>
    </w:p>
    <w:p>
      <w:pPr>
        <w:pStyle w:val="ListParagraph"/>
        <w:numPr>
          <w:ilvl w:val="0"/>
          <w:numId w:val="2"/>
        </w:numPr>
        <w:spacing w:after="80" w:line="280"/>
      </w:pPr>
      <w:r>
        <w:rPr>
          <w:rFonts w:ascii="Calibri" w:cs="Calibri" w:eastAsia="Calibri" w:hAnsi="Calibri"/>
          <w:sz w:val="22"/>
          <w:szCs w:val="22"/>
        </w:rPr>
        <w:t xml:space="preserve">There is no shared task definition. "Analyze this timeline" can mean anomaly detection, summarization, category labelling, attribution, or full narrative reconstruction — and it usually means all of them at once, informally.</w:t>
      </w:r>
    </w:p>
    <w:p>
      <w:pPr>
        <w:pStyle w:val="ListParagraph"/>
        <w:numPr>
          <w:ilvl w:val="0"/>
          <w:numId w:val="2"/>
        </w:numPr>
        <w:spacing w:after="80" w:line="280"/>
      </w:pPr>
      <w:r>
        <w:rPr>
          <w:rFonts w:ascii="Calibri" w:cs="Calibri" w:eastAsia="Calibri" w:hAnsi="Calibri"/>
          <w:sz w:val="22"/>
          <w:szCs w:val="22"/>
        </w:rPr>
        <w:t xml:space="preserve">There is no shared scoring function. Some papers use human qualitative judgment, some use precision/recall of manually chosen keywords, some use no numeric metric at all.</w:t>
      </w:r>
    </w:p>
    <w:p>
      <w:pPr>
        <w:spacing w:after="140" w:line="300"/>
      </w:pPr>
      <w:r>
        <w:rPr>
          <w:rFonts w:ascii="Calibri" w:cs="Calibri" w:eastAsia="Calibri" w:hAnsi="Calibri"/>
          <w:sz w:val="22"/>
          <w:szCs w:val="22"/>
        </w:rPr>
        <w:t xml:space="preserve">The paper's response is to propose a reproducible pipeline that fills all three gaps simultaneously, and to ground that pipeline in a well-known precedent from mainstream forensic science: the NIST Computer Forensic Tool Testing (CFTT) program.</w:t>
      </w:r>
    </w:p>
    <w:p>
      <w:pPr>
        <w:pStyle w:val="Heading1"/>
        <w:spacing w:after="180" w:before="320"/>
      </w:pPr>
      <w:r>
        <w:rPr>
          <w:rFonts w:ascii="Georgia" w:cs="Georgia" w:eastAsia="Georgia" w:hAnsi="Georgia"/>
          <w:b/>
          <w:bCs/>
          <w:color w:val="0B2545"/>
          <w:sz w:val="32"/>
          <w:szCs w:val="32"/>
        </w:rPr>
        <w:t xml:space="preserve">3. Contributions</w:t>
      </w:r>
    </w:p>
    <w:p>
      <w:pPr>
        <w:spacing w:after="140" w:line="300"/>
      </w:pPr>
      <w:r>
        <w:rPr>
          <w:rFonts w:ascii="Calibri" w:cs="Calibri" w:eastAsia="Calibri" w:hAnsi="Calibri"/>
          <w:sz w:val="22"/>
          <w:szCs w:val="22"/>
        </w:rPr>
        <w:t xml:space="preserve">The paper's contributions fall cleanly into three buckets:</w:t>
      </w:r>
    </w:p>
    <w:p>
      <w:pPr>
        <w:pStyle w:val="ListParagraph"/>
        <w:numPr>
          <w:ilvl w:val="0"/>
          <w:numId w:val="2"/>
        </w:numPr>
        <w:spacing w:after="80" w:line="280"/>
      </w:pPr>
      <w:r>
        <w:rPr>
          <w:rFonts w:ascii="Calibri" w:cs="Calibri" w:eastAsia="Calibri" w:hAnsi="Calibri"/>
          <w:sz w:val="22"/>
          <w:szCs w:val="22"/>
        </w:rPr>
        <w:t xml:space="preserve">A methodology. A structured evaluation pipeline for LLM-based timeline analysis, modelled on the NIST CFTT program. Every stage of the pipeline is deterministic up to the LLM itself, so any variation in results can be attributed to the model under test.</w:t>
      </w:r>
    </w:p>
    <w:p>
      <w:pPr>
        <w:pStyle w:val="ListParagraph"/>
        <w:numPr>
          <w:ilvl w:val="0"/>
          <w:numId w:val="2"/>
        </w:numPr>
        <w:spacing w:after="80" w:line="280"/>
      </w:pPr>
      <w:r>
        <w:rPr>
          <w:rFonts w:ascii="Calibri" w:cs="Calibri" w:eastAsia="Calibri" w:hAnsi="Calibri"/>
          <w:sz w:val="22"/>
          <w:szCs w:val="22"/>
        </w:rPr>
        <w:t xml:space="preserve">A reference dataset. A Windows 11 super-timeline generated with Plaso and released publicly on Zenodo. The timeline has a known ground truth, so any LLM answer about it can be scored automatically.</w:t>
      </w:r>
    </w:p>
    <w:p>
      <w:pPr>
        <w:pStyle w:val="ListParagraph"/>
        <w:numPr>
          <w:ilvl w:val="0"/>
          <w:numId w:val="2"/>
        </w:numPr>
        <w:spacing w:after="80" w:line="280"/>
      </w:pPr>
      <w:r>
        <w:rPr>
          <w:rFonts w:ascii="Calibri" w:cs="Calibri" w:eastAsia="Calibri" w:hAnsi="Calibri"/>
          <w:sz w:val="22"/>
          <w:szCs w:val="22"/>
        </w:rPr>
        <w:t xml:space="preserve">A first baseline. A set of ChatGPT-4o scores against the dataset under two prompting regimes — cold (no context) and context-primed (structured prompt) — which other researchers can now try to beat.</w:t>
      </w:r>
    </w:p>
    <w:p>
      <w:pPr>
        <w:pStyle w:val="Heading1"/>
        <w:spacing w:after="180" w:before="320"/>
      </w:pPr>
      <w:r>
        <w:rPr>
          <w:rFonts w:ascii="Georgia" w:cs="Georgia" w:eastAsia="Georgia" w:hAnsi="Georgia"/>
          <w:b/>
          <w:bCs/>
          <w:color w:val="0B2545"/>
          <w:sz w:val="32"/>
          <w:szCs w:val="32"/>
        </w:rPr>
        <w:t xml:space="preserve">4. Methodology</w:t>
      </w:r>
    </w:p>
    <w:p>
      <w:pPr>
        <w:spacing w:after="140" w:line="300"/>
      </w:pPr>
      <w:r>
        <w:rPr>
          <w:rFonts w:ascii="Calibri" w:cs="Calibri" w:eastAsia="Calibri" w:hAnsi="Calibri"/>
          <w:sz w:val="22"/>
          <w:szCs w:val="22"/>
        </w:rPr>
        <w:t xml:space="preserve">The evaluation pipeline has six stages. It is worth walking through each one because the whole argument of the paper depends on the pipeline being reproducible.</w:t>
      </w:r>
    </w:p>
    <w:p>
      <w:pPr>
        <w:pStyle w:val="Heading2"/>
        <w:spacing w:after="140" w:before="240"/>
      </w:pPr>
      <w:r>
        <w:rPr>
          <w:rFonts w:ascii="Georgia" w:cs="Georgia" w:eastAsia="Georgia" w:hAnsi="Georgia"/>
          <w:b/>
          <w:bCs/>
          <w:color w:val="0B2545"/>
          <w:sz w:val="26"/>
          <w:szCs w:val="26"/>
        </w:rPr>
        <w:t xml:space="preserve">4.1  Instrument</w:t>
      </w:r>
    </w:p>
    <w:p>
      <w:pPr>
        <w:spacing w:after="140" w:line="300"/>
      </w:pPr>
      <w:r>
        <w:rPr>
          <w:rFonts w:ascii="Calibri" w:cs="Calibri" w:eastAsia="Calibri" w:hAnsi="Calibri"/>
          <w:sz w:val="22"/>
          <w:szCs w:val="22"/>
        </w:rPr>
        <w:t xml:space="preserve">The authors start with a fresh Windows 11 virtual machine. They script two kinds of activity on top of the VM: benign end-user behavior (browsing, file creation, application launches) and attacker-style behavior (file wiping, log clearing, unauthorized access, malware-like artefact drops). Because every action is scripted, the authors know exactly which events should appear in the timeline and which should be labelled as anomalous.</w:t>
      </w:r>
    </w:p>
    <w:p>
      <w:pPr>
        <w:pStyle w:val="Heading2"/>
        <w:spacing w:after="140" w:before="240"/>
      </w:pPr>
      <w:r>
        <w:rPr>
          <w:rFonts w:ascii="Georgia" w:cs="Georgia" w:eastAsia="Georgia" w:hAnsi="Georgia"/>
          <w:b/>
          <w:bCs/>
          <w:color w:val="0B2545"/>
          <w:sz w:val="26"/>
          <w:szCs w:val="26"/>
        </w:rPr>
        <w:t xml:space="preserve">4.2  Acquire</w:t>
      </w:r>
    </w:p>
    <w:p>
      <w:pPr>
        <w:spacing w:after="140" w:line="300"/>
      </w:pPr>
      <w:r>
        <w:rPr>
          <w:rFonts w:ascii="Calibri" w:cs="Calibri" w:eastAsia="Calibri" w:hAnsi="Calibri"/>
          <w:sz w:val="22"/>
          <w:szCs w:val="22"/>
        </w:rPr>
        <w:t xml:space="preserve">Once the activity has been executed, the VM is snapshotted. The resulting VMDK functions as a forensic disk image — the same kind of artefact that a real investigator would receive from an incident response team.</w:t>
      </w:r>
    </w:p>
    <w:p>
      <w:pPr>
        <w:pStyle w:val="Heading2"/>
        <w:spacing w:after="140" w:before="240"/>
      </w:pPr>
      <w:r>
        <w:rPr>
          <w:rFonts w:ascii="Georgia" w:cs="Georgia" w:eastAsia="Georgia" w:hAnsi="Georgia"/>
          <w:b/>
          <w:bCs/>
          <w:color w:val="0B2545"/>
          <w:sz w:val="26"/>
          <w:szCs w:val="26"/>
        </w:rPr>
        <w:t xml:space="preserve">4.3  Parse with Plaso</w:t>
      </w:r>
    </w:p>
    <w:p>
      <w:pPr>
        <w:spacing w:after="140" w:line="300"/>
      </w:pPr>
      <w:r>
        <w:rPr>
          <w:rFonts w:ascii="Calibri" w:cs="Calibri" w:eastAsia="Calibri" w:hAnsi="Calibri"/>
          <w:sz w:val="22"/>
          <w:szCs w:val="22"/>
        </w:rPr>
        <w:t xml:space="preserve">Plaso (log2timeline) is the de facto open-source super-timeline tool in digital forensics. It walks over a disk image and extracts timestamped events from every parser it can find: the filesystem MFT, Windows event logs, registry hives, browser histories, prefetch files, jump lists, and so on. The output is a raw Plaso storage file containing hundreds of thousands of events on even a small VM.</w:t>
      </w:r>
    </w:p>
    <w:p>
      <w:pPr>
        <w:pStyle w:val="Heading2"/>
        <w:spacing w:after="140" w:before="240"/>
      </w:pPr>
      <w:r>
        <w:rPr>
          <w:rFonts w:ascii="Georgia" w:cs="Georgia" w:eastAsia="Georgia" w:hAnsi="Georgia"/>
          <w:b/>
          <w:bCs/>
          <w:color w:val="0B2545"/>
          <w:sz w:val="26"/>
          <w:szCs w:val="26"/>
        </w:rPr>
        <w:t xml:space="preserve">4.4  Normalize with psort</w:t>
      </w:r>
    </w:p>
    <w:p>
      <w:pPr>
        <w:spacing w:after="140" w:line="300"/>
      </w:pPr>
      <w:r>
        <w:rPr>
          <w:rFonts w:ascii="Calibri" w:cs="Calibri" w:eastAsia="Calibri" w:hAnsi="Calibri"/>
          <w:sz w:val="22"/>
          <w:szCs w:val="22"/>
        </w:rPr>
        <w:t xml:space="preserve">psort is Plaso's output tool. It converts the raw Plaso storage into a flat, human-readable form — in this case a CSV file. The CSV is what the LLM will actually see: each row is an event with a timestamp, a source, a filename, and a description. This step is crucial because it takes the messy, binary-heavy Plaso output and turns it into text that a transformer model can tokenize.</w:t>
      </w:r>
    </w:p>
    <w:p>
      <w:pPr>
        <w:pStyle w:val="Heading2"/>
        <w:spacing w:after="140" w:before="240"/>
      </w:pPr>
      <w:r>
        <w:rPr>
          <w:rFonts w:ascii="Georgia" w:cs="Georgia" w:eastAsia="Georgia" w:hAnsi="Georgia"/>
          <w:b/>
          <w:bCs/>
          <w:color w:val="0B2545"/>
          <w:sz w:val="26"/>
          <w:szCs w:val="26"/>
        </w:rPr>
        <w:t xml:space="preserve">4.5  Prompt</w:t>
      </w:r>
    </w:p>
    <w:p>
      <w:pPr>
        <w:spacing w:after="140" w:line="300"/>
      </w:pPr>
      <w:r>
        <w:rPr>
          <w:rFonts w:ascii="Calibri" w:cs="Calibri" w:eastAsia="Calibri" w:hAnsi="Calibri"/>
          <w:sz w:val="22"/>
          <w:szCs w:val="22"/>
        </w:rPr>
        <w:t xml:space="preserve">The LLM is handed a window of the CSV along with a task prompt. Because of context-window limits, the authors truncate the CSV to roughly 2,000 lines per prompt — a number they flag openly as a limitation. The same window is reused across runs, so prompting variance is the only thing that changes between experiments.</w:t>
      </w:r>
    </w:p>
    <w:p>
      <w:pPr>
        <w:pStyle w:val="Heading2"/>
        <w:spacing w:after="140" w:before="240"/>
      </w:pPr>
      <w:r>
        <w:rPr>
          <w:rFonts w:ascii="Georgia" w:cs="Georgia" w:eastAsia="Georgia" w:hAnsi="Georgia"/>
          <w:b/>
          <w:bCs/>
          <w:color w:val="0B2545"/>
          <w:sz w:val="26"/>
          <w:szCs w:val="26"/>
        </w:rPr>
        <w:t xml:space="preserve">4.6  Score</w:t>
      </w:r>
    </w:p>
    <w:p>
      <w:pPr>
        <w:spacing w:after="140" w:line="300"/>
      </w:pPr>
      <w:r>
        <w:rPr>
          <w:rFonts w:ascii="Calibri" w:cs="Calibri" w:eastAsia="Calibri" w:hAnsi="Calibri"/>
          <w:sz w:val="22"/>
          <w:szCs w:val="22"/>
        </w:rPr>
        <w:t xml:space="preserve">The LLM's output is compared against a reference answer that the authors constructed when they instrumented the VM. BLEU and ROUGE scores are computed automatically. Because the reference is built from the scripted ground truth, no human judgment is needed in the scoring loop.</w:t>
      </w:r>
    </w:p>
    <w:p>
      <w:pPr>
        <w:spacing w:after="140" w:line="300"/>
      </w:pPr>
      <w:r>
        <w:rPr>
          <w:rFonts w:ascii="Calibri" w:cs="Calibri" w:eastAsia="Calibri" w:hAnsi="Calibri"/>
          <w:i/>
          <w:iCs/>
          <w:color w:val="5B6B83"/>
          <w:sz w:val="22"/>
          <w:szCs w:val="22"/>
        </w:rPr>
        <w:t xml:space="preserve">The key property of the pipeline is that everything except step 4.5 is deterministic. If the scores shift between two experiments, the only thing that could have moved is the model or the prompt.</w:t>
      </w:r>
    </w:p>
    <w:p>
      <w:pPr>
        <w:pStyle w:val="Heading1"/>
        <w:spacing w:after="180" w:before="320"/>
      </w:pPr>
      <w:r>
        <w:rPr>
          <w:rFonts w:ascii="Georgia" w:cs="Georgia" w:eastAsia="Georgia" w:hAnsi="Georgia"/>
          <w:b/>
          <w:bCs/>
          <w:color w:val="0B2545"/>
          <w:sz w:val="32"/>
          <w:szCs w:val="32"/>
        </w:rPr>
        <w:t xml:space="preserve">5. The reference dataset</w:t>
      </w:r>
    </w:p>
    <w:p>
      <w:pPr>
        <w:spacing w:after="140" w:line="300"/>
      </w:pPr>
      <w:r>
        <w:rPr>
          <w:rFonts w:ascii="Calibri" w:cs="Calibri" w:eastAsia="Calibri" w:hAnsi="Calibri"/>
          <w:sz w:val="22"/>
          <w:szCs w:val="22"/>
        </w:rPr>
        <w:t xml:space="preserve">The dataset deserves its own section because it is, in many ways, the paper's most durable contribution. Methodologies can be argued about; a shared dataset is infrastructure.</w:t>
      </w:r>
    </w:p>
    <w:p>
      <w:pPr>
        <w:spacing w:after="140" w:line="300"/>
      </w:pPr>
      <w:r>
        <w:rPr>
          <w:rFonts w:ascii="Calibri" w:cs="Calibri" w:eastAsia="Calibri" w:hAnsi="Calibri"/>
          <w:sz w:val="22"/>
          <w:szCs w:val="22"/>
        </w:rPr>
        <w:t xml:space="preserve">The dataset is built from a single Windows 11 VM with scripted user and attacker activity. The authors publish both the raw VMDK snapshot and the derived Plaso storage file, together with the psort CSV and the ground-truth reference answers. Everything is released on Zenodo under an open license so that any subsequent paper can use exactly the same inputs.</w:t>
      </w:r>
    </w:p>
    <w:p>
      <w:pPr>
        <w:spacing w:after="140" w:line="300"/>
      </w:pPr>
      <w:r>
        <w:rPr>
          <w:rFonts w:ascii="Calibri" w:cs="Calibri" w:eastAsia="Calibri" w:hAnsi="Calibri"/>
          <w:sz w:val="22"/>
          <w:szCs w:val="22"/>
        </w:rPr>
        <w:t xml:space="preserve">The dataset is deliberately small. This is not an attempt to capture the diversity of real-world incidents; it is a first reference scenario, designed to be easy to reason about. A bigger and more heterogeneous benchmark is left as explicit future work.</w:t>
      </w:r>
    </w:p>
    <w:p>
      <w:pPr>
        <w:spacing w:after="140" w:line="300"/>
      </w:pPr>
      <w:r>
        <w:rPr>
          <w:rFonts w:ascii="Calibri" w:cs="Calibri" w:eastAsia="Calibri" w:hAnsi="Calibri"/>
          <w:b w:val="false"/>
          <w:bCs w:val="false"/>
          <w:i w:val="false"/>
          <w:iCs w:val="false"/>
          <w:sz w:val="22"/>
          <w:szCs w:val="22"/>
        </w:rPr>
        <w:t xml:space="preserve">One practical constraint shapes the entire evaluation: </w:t>
      </w:r>
      <w:r>
        <w:rPr>
          <w:rFonts w:ascii="Calibri" w:cs="Calibri" w:eastAsia="Calibri" w:hAnsi="Calibri"/>
          <w:b/>
          <w:bCs/>
          <w:i w:val="false"/>
          <w:iCs w:val="false"/>
          <w:sz w:val="22"/>
          <w:szCs w:val="22"/>
        </w:rPr>
        <w:t xml:space="preserve">context window truncation. </w:t>
      </w:r>
      <w:r>
        <w:rPr>
          <w:rFonts w:ascii="Calibri" w:cs="Calibri" w:eastAsia="Calibri" w:hAnsi="Calibri"/>
          <w:b w:val="false"/>
          <w:bCs w:val="false"/>
          <w:i w:val="false"/>
          <w:iCs w:val="false"/>
          <w:sz w:val="22"/>
          <w:szCs w:val="22"/>
        </w:rPr>
        <w:t xml:space="preserve">Even a small VM produces Plaso output measured in hundreds of thousands of rows — more than any current LLM can read at once. The authors cap each prompt at approximately 2,000 lines. That is enough to contain a self-contained episode of activity, but it means the LLM never sees the "full" timeline. Events that span window boundaries are invisible to it.</w:t>
      </w:r>
    </w:p>
    <w:p>
      <w:pPr>
        <w:pStyle w:val="Heading1"/>
        <w:spacing w:after="180" w:before="320"/>
      </w:pPr>
      <w:r>
        <w:rPr>
          <w:rFonts w:ascii="Georgia" w:cs="Georgia" w:eastAsia="Georgia" w:hAnsi="Georgia"/>
          <w:b/>
          <w:bCs/>
          <w:color w:val="0B2545"/>
          <w:sz w:val="32"/>
          <w:szCs w:val="32"/>
        </w:rPr>
        <w:t xml:space="preserve">6. Evaluation tasks</w:t>
      </w:r>
    </w:p>
    <w:p>
      <w:pPr>
        <w:spacing w:after="140" w:line="300"/>
      </w:pPr>
      <w:r>
        <w:rPr>
          <w:rFonts w:ascii="Calibri" w:cs="Calibri" w:eastAsia="Calibri" w:hAnsi="Calibri"/>
          <w:sz w:val="22"/>
          <w:szCs w:val="22"/>
        </w:rPr>
        <w:t xml:space="preserve">The paper defines a small set of forensic sub-tasks. Each task has a deterministic ground truth derived from the scripted activity, which is what makes automatic scoring possible.</w:t>
      </w:r>
    </w:p>
    <w:p>
      <w:pPr>
        <w:pStyle w:val="ListParagraph"/>
        <w:numPr>
          <w:ilvl w:val="0"/>
          <w:numId w:val="2"/>
        </w:numPr>
        <w:spacing w:after="80" w:line="280"/>
      </w:pPr>
      <w:r>
        <w:rPr>
          <w:rFonts w:ascii="Calibri" w:cs="Calibri" w:eastAsia="Calibri" w:hAnsi="Calibri"/>
          <w:sz w:val="22"/>
          <w:szCs w:val="22"/>
        </w:rPr>
        <w:t xml:space="preserve">Anomaly detection — given a timeline window, identify suspicious or anomalous events (file deletions, log clears, privilege changes, unauthorized access, malware-like artefact drops).</w:t>
      </w:r>
    </w:p>
    <w:p>
      <w:pPr>
        <w:pStyle w:val="ListParagraph"/>
        <w:numPr>
          <w:ilvl w:val="0"/>
          <w:numId w:val="2"/>
        </w:numPr>
        <w:spacing w:after="80" w:line="280"/>
      </w:pPr>
      <w:r>
        <w:rPr>
          <w:rFonts w:ascii="Calibri" w:cs="Calibri" w:eastAsia="Calibri" w:hAnsi="Calibri"/>
          <w:sz w:val="22"/>
          <w:szCs w:val="22"/>
        </w:rPr>
        <w:t xml:space="preserve">Keyword extraction — produce the set of forensic keywords relevant to the scenario. The paper reports keywords such as 'delete', 'clear', 'wipe', 'remove', 'malware', and 'unauthorized'.</w:t>
      </w:r>
    </w:p>
    <w:p>
      <w:pPr>
        <w:pStyle w:val="ListParagraph"/>
        <w:numPr>
          <w:ilvl w:val="0"/>
          <w:numId w:val="2"/>
        </w:numPr>
        <w:spacing w:after="80" w:line="280"/>
      </w:pPr>
      <w:r>
        <w:rPr>
          <w:rFonts w:ascii="Calibri" w:cs="Calibri" w:eastAsia="Calibri" w:hAnsi="Calibri"/>
          <w:sz w:val="22"/>
          <w:szCs w:val="22"/>
        </w:rPr>
        <w:t xml:space="preserve">Summarization — produce a short natural-language summary of what happened in the timeline window, consistent with the reference answer.</w:t>
      </w:r>
    </w:p>
    <w:p>
      <w:pPr>
        <w:pStyle w:val="ListParagraph"/>
        <w:numPr>
          <w:ilvl w:val="0"/>
          <w:numId w:val="2"/>
        </w:numPr>
        <w:spacing w:after="80" w:line="280"/>
      </w:pPr>
      <w:r>
        <w:rPr>
          <w:rFonts w:ascii="Calibri" w:cs="Calibri" w:eastAsia="Calibri" w:hAnsi="Calibri"/>
          <w:sz w:val="22"/>
          <w:szCs w:val="22"/>
        </w:rPr>
        <w:t xml:space="preserve">Category labelling — assign each window to a forensic category (benign activity, reconnaissance, data exfiltration, tampering, etc.).</w:t>
      </w:r>
    </w:p>
    <w:p>
      <w:pPr>
        <w:spacing w:after="140" w:line="300"/>
      </w:pPr>
      <w:r>
        <w:rPr>
          <w:rFonts w:ascii="Calibri" w:cs="Calibri" w:eastAsia="Calibri" w:hAnsi="Calibri"/>
          <w:sz w:val="22"/>
          <w:szCs w:val="22"/>
        </w:rPr>
        <w:t xml:space="preserve">All four tasks are treated as text-generation problems, which is what motivates the choice of evaluation metrics in the next section.</w:t>
      </w:r>
    </w:p>
    <w:p>
      <w:pPr>
        <w:pStyle w:val="Heading1"/>
        <w:spacing w:after="180" w:before="320"/>
      </w:pPr>
      <w:r>
        <w:rPr>
          <w:rFonts w:ascii="Georgia" w:cs="Georgia" w:eastAsia="Georgia" w:hAnsi="Georgia"/>
          <w:b/>
          <w:bCs/>
          <w:color w:val="0B2545"/>
          <w:sz w:val="32"/>
          <w:szCs w:val="32"/>
        </w:rPr>
        <w:t xml:space="preserve">7. Metrics: BLEU and ROUGE</w:t>
      </w:r>
    </w:p>
    <w:p>
      <w:pPr>
        <w:spacing w:after="140" w:line="300"/>
      </w:pPr>
      <w:r>
        <w:rPr>
          <w:rFonts w:ascii="Calibri" w:cs="Calibri" w:eastAsia="Calibri" w:hAnsi="Calibri"/>
          <w:sz w:val="22"/>
          <w:szCs w:val="22"/>
        </w:rPr>
        <w:t xml:space="preserve">The authors borrow two metrics from machine translation and summarization:</w:t>
      </w:r>
    </w:p>
    <w:p>
      <w:pPr>
        <w:spacing w:after="140" w:line="300"/>
      </w:pPr>
      <w:r>
        <w:rPr>
          <w:rFonts w:ascii="Calibri" w:cs="Calibri" w:eastAsia="Calibri" w:hAnsi="Calibri"/>
          <w:b/>
          <w:bCs/>
          <w:i w:val="false"/>
          <w:iCs w:val="false"/>
          <w:sz w:val="22"/>
          <w:szCs w:val="22"/>
        </w:rPr>
        <w:t xml:space="preserve">BLEU (Bilingual Evaluation Understudy) </w:t>
      </w:r>
      <w:r>
        <w:rPr>
          <w:rFonts w:ascii="Calibri" w:cs="Calibri" w:eastAsia="Calibri" w:hAnsi="Calibri"/>
          <w:b w:val="false"/>
          <w:bCs w:val="false"/>
          <w:i w:val="false"/>
          <w:iCs w:val="false"/>
          <w:sz w:val="22"/>
          <w:szCs w:val="22"/>
        </w:rPr>
        <w:t xml:space="preserve">measures n-gram precision between the model's answer and the reference answer. It ranges from 0 to 1, with higher values meaning more of the model's output overlaps with the reference. BLEU was designed for machine translation and penalizes both missing content and fabricated content that does not appear in the reference.</w:t>
      </w:r>
    </w:p>
    <w:p>
      <w:pPr>
        <w:spacing w:after="140" w:line="300"/>
      </w:pPr>
      <w:r>
        <w:rPr>
          <w:rFonts w:ascii="Calibri" w:cs="Calibri" w:eastAsia="Calibri" w:hAnsi="Calibri"/>
          <w:b/>
          <w:bCs/>
          <w:i w:val="false"/>
          <w:iCs w:val="false"/>
          <w:sz w:val="22"/>
          <w:szCs w:val="22"/>
        </w:rPr>
        <w:t xml:space="preserve">ROUGE (Recall-Oriented Understudy for Gisting Evaluation) </w:t>
      </w:r>
      <w:r>
        <w:rPr>
          <w:rFonts w:ascii="Calibri" w:cs="Calibri" w:eastAsia="Calibri" w:hAnsi="Calibri"/>
          <w:b w:val="false"/>
          <w:bCs w:val="false"/>
          <w:i w:val="false"/>
          <w:iCs w:val="false"/>
          <w:sz w:val="22"/>
          <w:szCs w:val="22"/>
        </w:rPr>
        <w:t xml:space="preserve">measures n-gram recall — how much of the reference is actually captured in the model's output. It is typically reported as ROUGE-1, ROUGE-2, and ROUGE-L depending on whether unigrams, bigrams, or longest-common-subsequence are being scored. Higher values mean the model covers more of the reference content.</w:t>
      </w:r>
    </w:p>
    <w:p>
      <w:pPr>
        <w:spacing w:after="140" w:line="300"/>
      </w:pPr>
      <w:r>
        <w:rPr>
          <w:rFonts w:ascii="Calibri" w:cs="Calibri" w:eastAsia="Calibri" w:hAnsi="Calibri"/>
          <w:sz w:val="22"/>
          <w:szCs w:val="22"/>
        </w:rPr>
        <w:t xml:space="preserve">The choice of BLEU and ROUGE is pragmatic. Both metrics are cheap to compute, language-independent, and well understood. They are also a weak proxy for forensic correctness — a point the authors return to in their own limitations section — but they are good enough for a first cross-model benchmark.</w:t>
      </w:r>
    </w:p>
    <w:p>
      <w:pPr>
        <w:pStyle w:val="Heading1"/>
        <w:spacing w:after="180" w:before="320"/>
      </w:pPr>
      <w:r>
        <w:rPr>
          <w:rFonts w:ascii="Georgia" w:cs="Georgia" w:eastAsia="Georgia" w:hAnsi="Georgia"/>
          <w:b/>
          <w:bCs/>
          <w:color w:val="0B2545"/>
          <w:sz w:val="32"/>
          <w:szCs w:val="32"/>
        </w:rPr>
        <w:t xml:space="preserve">8. Results</w:t>
      </w:r>
    </w:p>
    <w:p>
      <w:pPr>
        <w:spacing w:after="140" w:line="300"/>
      </w:pPr>
      <w:r>
        <w:rPr>
          <w:rFonts w:ascii="Calibri" w:cs="Calibri" w:eastAsia="Calibri" w:hAnsi="Calibri"/>
          <w:sz w:val="22"/>
          <w:szCs w:val="22"/>
        </w:rPr>
        <w:t xml:space="preserve">The headline finding is that the same model — ChatGPT-4o — on the same timeline window produces wildly different scores depending on how it is prompted. There are two distinct regimes.</w:t>
      </w:r>
    </w:p>
    <w:p>
      <w:pPr>
        <w:pStyle w:val="Heading2"/>
        <w:spacing w:after="140" w:before="240"/>
      </w:pPr>
      <w:r>
        <w:rPr>
          <w:rFonts w:ascii="Georgia" w:cs="Georgia" w:eastAsia="Georgia" w:hAnsi="Georgia"/>
          <w:b/>
          <w:bCs/>
          <w:color w:val="0B2545"/>
          <w:sz w:val="26"/>
          <w:szCs w:val="26"/>
        </w:rPr>
        <w:t xml:space="preserve">8.1  Cold prompting</w:t>
      </w:r>
    </w:p>
    <w:p>
      <w:pPr>
        <w:spacing w:after="140" w:line="300"/>
      </w:pPr>
      <w:r>
        <w:rPr>
          <w:rFonts w:ascii="Calibri" w:cs="Calibri" w:eastAsia="Calibri" w:hAnsi="Calibri"/>
          <w:sz w:val="22"/>
          <w:szCs w:val="22"/>
        </w:rPr>
        <w:t xml:space="preserve">In the cold regime, the model receives the timeline CSV and a minimal prompt of the form "here is a timeline, find the anomalies." No context about the scenario, no categories, no examples. This is what a naive user of ChatGPT might type.</w:t>
      </w:r>
    </w:p>
    <w:p>
      <w:pPr>
        <w:spacing w:after="140" w:line="300"/>
      </w:pPr>
      <w:r>
        <w:rPr>
          <w:rFonts w:ascii="Calibri" w:cs="Calibri" w:eastAsia="Calibri" w:hAnsi="Calibri"/>
          <w:sz w:val="22"/>
          <w:szCs w:val="22"/>
        </w:rPr>
        <w:t xml:space="preserve">Under cold prompting, scores are poor. BLEU lands around 0.147, and ROUGE lands in the 0.141 to 0.192 range. The authors characterise the failure mode as a mix of three problems: the model misses ground-truth events, invents events that are not in the input at all, and is inconsistent from run to run on the same input.</w:t>
      </w:r>
    </w:p>
    <w:p>
      <w:pPr>
        <w:pStyle w:val="Heading2"/>
        <w:spacing w:after="140" w:before="240"/>
      </w:pPr>
      <w:r>
        <w:rPr>
          <w:rFonts w:ascii="Georgia" w:cs="Georgia" w:eastAsia="Georgia" w:hAnsi="Georgia"/>
          <w:b/>
          <w:bCs/>
          <w:color w:val="0B2545"/>
          <w:sz w:val="26"/>
          <w:szCs w:val="26"/>
        </w:rPr>
        <w:t xml:space="preserve">8.2  Context-primed prompting</w:t>
      </w:r>
    </w:p>
    <w:p>
      <w:pPr>
        <w:spacing w:after="140" w:line="300"/>
      </w:pPr>
      <w:r>
        <w:rPr>
          <w:rFonts w:ascii="Calibri" w:cs="Calibri" w:eastAsia="Calibri" w:hAnsi="Calibri"/>
          <w:sz w:val="22"/>
          <w:szCs w:val="22"/>
        </w:rPr>
        <w:t xml:space="preserve">In the context-primed regime, the prompt explicitly tells the model what kind of incident it is looking at and what categories of events matter. Structurally, the prompt is longer and more prescriptive — closer to a prompt you would write for a production pipeline than one a user would type into a chatbot.</w:t>
      </w:r>
    </w:p>
    <w:p>
      <w:pPr>
        <w:spacing w:after="140" w:line="300"/>
      </w:pPr>
      <w:r>
        <w:rPr>
          <w:rFonts w:ascii="Calibri" w:cs="Calibri" w:eastAsia="Calibri" w:hAnsi="Calibri"/>
          <w:sz w:val="22"/>
          <w:szCs w:val="22"/>
        </w:rPr>
        <w:t xml:space="preserve">Under context-primed prompting, scores jump dramatically. BLEU reaches approximately 0.945, and ROUGE reaches approximately 0.996 to 0.997. In plain language, the model is producing answers that are almost token-for-token identical to the reference.</w:t>
      </w:r>
    </w:p>
    <w:p>
      <w:pPr>
        <w:spacing w:after="140" w:line="300"/>
      </w:pPr>
      <w:r>
        <w:rPr>
          <w:rFonts w:ascii="Calibri" w:cs="Calibri" w:eastAsia="Calibri" w:hAnsi="Calibri"/>
          <w:b w:val="false"/>
          <w:bCs w:val="false"/>
          <w:i w:val="false"/>
          <w:iCs w:val="false"/>
          <w:sz w:val="22"/>
          <w:szCs w:val="22"/>
        </w:rPr>
        <w:t xml:space="preserve">The honest takeaway is narrower than the headline numbers suggest. </w:t>
      </w:r>
      <w:r>
        <w:rPr>
          <w:rFonts w:ascii="Calibri" w:cs="Calibri" w:eastAsia="Calibri" w:hAnsi="Calibri"/>
          <w:b/>
          <w:bCs/>
          <w:i w:val="false"/>
          <w:iCs w:val="false"/>
          <w:sz w:val="22"/>
          <w:szCs w:val="22"/>
        </w:rPr>
        <w:t xml:space="preserve">This is not a claim that LLMs beat rule-based forensic tools, or that LLMs are ready to replace human investigators. </w:t>
      </w:r>
      <w:r>
        <w:rPr>
          <w:rFonts w:ascii="Calibri" w:cs="Calibri" w:eastAsia="Calibri" w:hAnsi="Calibri"/>
          <w:b w:val="false"/>
          <w:bCs w:val="false"/>
          <w:i w:val="false"/>
          <w:iCs w:val="false"/>
          <w:sz w:val="22"/>
          <w:szCs w:val="22"/>
        </w:rPr>
        <w:t xml:space="preserve">It is the observation that an LLM behaves like a text generator, and when you prompt it like a text generator — with structure, categories, and context — it produces text very close to the reference. When you prompt it like an autonomous reasoner, it fails.</w:t>
      </w:r>
    </w:p>
    <w:p>
      <w:pPr>
        <w:pStyle w:val="Heading1"/>
        <w:spacing w:after="180" w:before="320"/>
      </w:pPr>
      <w:r>
        <w:rPr>
          <w:rFonts w:ascii="Georgia" w:cs="Georgia" w:eastAsia="Georgia" w:hAnsi="Georgia"/>
          <w:b/>
          <w:bCs/>
          <w:color w:val="0B2545"/>
          <w:sz w:val="32"/>
          <w:szCs w:val="32"/>
        </w:rPr>
        <w:t xml:space="preserve">9. Limitations and critique</w:t>
      </w:r>
    </w:p>
    <w:p>
      <w:pPr>
        <w:spacing w:after="140" w:line="300"/>
      </w:pPr>
      <w:r>
        <w:rPr>
          <w:rFonts w:ascii="Calibri" w:cs="Calibri" w:eastAsia="Calibri" w:hAnsi="Calibri"/>
          <w:sz w:val="22"/>
          <w:szCs w:val="22"/>
        </w:rPr>
        <w:t xml:space="preserve">The authors are refreshingly direct about the limits of their own study. The following five points are either explicitly flagged in the paper or follow closely from its framing.</w:t>
      </w:r>
    </w:p>
    <w:p>
      <w:pPr>
        <w:pStyle w:val="ListParagraph"/>
        <w:numPr>
          <w:ilvl w:val="0"/>
          <w:numId w:val="2"/>
        </w:numPr>
        <w:spacing w:after="80" w:line="280"/>
      </w:pPr>
      <w:r>
        <w:rPr>
          <w:rFonts w:ascii="Calibri" w:cs="Calibri" w:eastAsia="Calibri" w:hAnsi="Calibri"/>
          <w:sz w:val="22"/>
          <w:szCs w:val="22"/>
        </w:rPr>
        <w:t xml:space="preserve">Context window truncation. Capping prompts at ~2,000 lines means important evidence outside the window is invisible to the model. Real investigations often require correlating events across days or across hosts.</w:t>
      </w:r>
    </w:p>
    <w:p>
      <w:pPr>
        <w:pStyle w:val="ListParagraph"/>
        <w:numPr>
          <w:ilvl w:val="0"/>
          <w:numId w:val="2"/>
        </w:numPr>
        <w:spacing w:after="80" w:line="280"/>
      </w:pPr>
      <w:r>
        <w:rPr>
          <w:rFonts w:ascii="Calibri" w:cs="Calibri" w:eastAsia="Calibri" w:hAnsi="Calibri"/>
          <w:sz w:val="22"/>
          <w:szCs w:val="22"/>
        </w:rPr>
        <w:t xml:space="preserve">Closed-model dependence. ChatGPT-4o is a hosted commercial API. Sending real case data to a third-party endpoint is often unacceptable under evidence-handling or privacy regulations, which limits where this baseline can actually be used.</w:t>
      </w:r>
    </w:p>
    <w:p>
      <w:pPr>
        <w:pStyle w:val="ListParagraph"/>
        <w:numPr>
          <w:ilvl w:val="0"/>
          <w:numId w:val="2"/>
        </w:numPr>
        <w:spacing w:after="80" w:line="280"/>
      </w:pPr>
      <w:r>
        <w:rPr>
          <w:rFonts w:ascii="Calibri" w:cs="Calibri" w:eastAsia="Calibri" w:hAnsi="Calibri"/>
          <w:sz w:val="22"/>
          <w:szCs w:val="22"/>
        </w:rPr>
        <w:t xml:space="preserve">Weak surface metrics. BLEU and ROUGE measure string overlap with a reference. They do not measure whether the forensic finding is correct, nor whether the model's reasoning chain is valid. A model that produces the wrong answer in the "right" words can score well.</w:t>
      </w:r>
    </w:p>
    <w:p>
      <w:pPr>
        <w:pStyle w:val="ListParagraph"/>
        <w:numPr>
          <w:ilvl w:val="0"/>
          <w:numId w:val="2"/>
        </w:numPr>
        <w:spacing w:after="80" w:line="280"/>
      </w:pPr>
      <w:r>
        <w:rPr>
          <w:rFonts w:ascii="Calibri" w:cs="Calibri" w:eastAsia="Calibri" w:hAnsi="Calibri"/>
          <w:sz w:val="22"/>
          <w:szCs w:val="22"/>
        </w:rPr>
        <w:t xml:space="preserve">Single-host dataset. The evaluation is on one Windows 11 endpoint VM. Multi-host incidents, cloud-native telemetry, and network-only scenarios are out of scope, and results should not be extrapolated to them without new experiments.</w:t>
      </w:r>
    </w:p>
    <w:p>
      <w:pPr>
        <w:pStyle w:val="ListParagraph"/>
        <w:numPr>
          <w:ilvl w:val="0"/>
          <w:numId w:val="2"/>
        </w:numPr>
        <w:spacing w:after="80" w:line="280"/>
      </w:pPr>
      <w:r>
        <w:rPr>
          <w:rFonts w:ascii="Calibri" w:cs="Calibri" w:eastAsia="Calibri" w:hAnsi="Calibri"/>
          <w:sz w:val="22"/>
          <w:szCs w:val="22"/>
        </w:rPr>
        <w:t xml:space="preserve">No separate hallucination metric. Fabricated events are implicitly penalized by BLEU and ROUGE, but never separately quantified. For forensic use this is a serious omission, because the fabrication rate is exactly the number an investigator needs to know before trusting an LLM's output in court.</w:t>
      </w:r>
    </w:p>
    <w:p>
      <w:pPr>
        <w:pStyle w:val="Heading1"/>
        <w:spacing w:after="180" w:before="320"/>
      </w:pPr>
      <w:r>
        <w:rPr>
          <w:rFonts w:ascii="Georgia" w:cs="Georgia" w:eastAsia="Georgia" w:hAnsi="Georgia"/>
          <w:b/>
          <w:bCs/>
          <w:color w:val="0B2545"/>
          <w:sz w:val="32"/>
          <w:szCs w:val="32"/>
        </w:rPr>
        <w:t xml:space="preserve">10. Conclusions</w:t>
      </w:r>
    </w:p>
    <w:p>
      <w:pPr>
        <w:spacing w:after="140" w:line="300"/>
      </w:pPr>
      <w:r>
        <w:rPr>
          <w:rFonts w:ascii="Calibri" w:cs="Calibri" w:eastAsia="Calibri" w:hAnsi="Calibri"/>
          <w:sz w:val="22"/>
          <w:szCs w:val="22"/>
        </w:rPr>
        <w:t xml:space="preserve">Scanlon and colleagues have written a methodology paper that does not claim a new algorithm or a new model, and that is its strength. Instead, it gives the LLM-forensics community a shared instrument: a documented pipeline, a public dataset, a published baseline, and a set of known weaknesses to work around.</w:t>
      </w:r>
    </w:p>
    <w:p>
      <w:pPr>
        <w:spacing w:after="140" w:line="300"/>
      </w:pPr>
      <w:r>
        <w:rPr>
          <w:rFonts w:ascii="Calibri" w:cs="Calibri" w:eastAsia="Calibri" w:hAnsi="Calibri"/>
          <w:sz w:val="22"/>
          <w:szCs w:val="22"/>
        </w:rPr>
        <w:t xml:space="preserve">The empirical finding — that the same model swings from BLEU 0.15 to BLEU 0.95 depending on prompt structure — is itself an important result. It says that arguments about "whether LLMs work" for timeline analysis are usually arguments about prompting, not arguments about the model. It also sets up the natural research agenda: find metrics that measure forensic correctness rather than string overlap; measure hallucination rates explicitly; run the same pipeline against open-weight, privately deployable models; and extend the dataset to multi-host and cloud-native scenarios.</w:t>
      </w:r>
    </w:p>
    <w:p>
      <w:pPr>
        <w:spacing w:after="140" w:line="300"/>
      </w:pPr>
      <w:r>
        <w:rPr>
          <w:rFonts w:ascii="Calibri" w:cs="Calibri" w:eastAsia="Calibri" w:hAnsi="Calibri"/>
          <w:sz w:val="22"/>
          <w:szCs w:val="22"/>
        </w:rPr>
        <w:t xml:space="preserve">For a student entering the field, this paper is useful less as an "answer" and more as a shared starting line — the first place where the LLM-forensics conversation stops being anecdotal and starts being measured.</w:t>
      </w:r>
    </w:p>
    <w:p>
      <w:pPr>
        <w:pStyle w:val="Heading1"/>
        <w:spacing w:after="180" w:before="320"/>
      </w:pPr>
      <w:r>
        <w:rPr>
          <w:rFonts w:ascii="Georgia" w:cs="Georgia" w:eastAsia="Georgia" w:hAnsi="Georgia"/>
          <w:b/>
          <w:bCs/>
          <w:color w:val="0B2545"/>
          <w:sz w:val="32"/>
          <w:szCs w:val="32"/>
        </w:rPr>
        <w:t xml:space="preserve">11. References</w:t>
      </w:r>
    </w:p>
    <w:p>
      <w:pPr>
        <w:spacing w:after="140" w:line="300"/>
      </w:pPr>
      <w:r>
        <w:rPr>
          <w:rFonts w:ascii="Calibri" w:cs="Calibri" w:eastAsia="Calibri" w:hAnsi="Calibri"/>
          <w:sz w:val="22"/>
          <w:szCs w:val="22"/>
        </w:rPr>
        <w:t xml:space="preserve">Studiawan, H., Breitinger, F., &amp; Scanlon, M. (2025). Towards a standardized methodology and dataset for evaluating LLM-based digital forensic timeline analysis. Forensic Science International: Digital Investigation, 54. arXiv:2505.03100.</w:t>
      </w:r>
    </w:p>
    <w:p>
      <w:pPr>
        <w:spacing w:after="140" w:line="300"/>
      </w:pPr>
      <w:r>
        <w:rPr>
          <w:rFonts w:ascii="Calibri" w:cs="Calibri" w:eastAsia="Calibri" w:hAnsi="Calibri"/>
          <w:sz w:val="22"/>
          <w:szCs w:val="22"/>
        </w:rPr>
        <w:t xml:space="preserve">National Institute of Standards and Technology. Computer Forensic Tool Testing (CFTT) Program. https://www.nist.gov/itl/ssd/software-quality-group/computer-forensics-tool-testing-program-cftt</w:t>
      </w:r>
    </w:p>
    <w:p>
      <w:pPr>
        <w:spacing w:after="140" w:line="300"/>
      </w:pPr>
      <w:r>
        <w:rPr>
          <w:rFonts w:ascii="Calibri" w:cs="Calibri" w:eastAsia="Calibri" w:hAnsi="Calibri"/>
          <w:sz w:val="22"/>
          <w:szCs w:val="22"/>
        </w:rPr>
        <w:t xml:space="preserve">Plaso / log2timeline project. https://plaso.readthedocs.io</w:t>
      </w:r>
    </w:p>
    <w:p>
      <w:pPr>
        <w:spacing w:after="140" w:line="300"/>
      </w:pPr>
      <w:r>
        <w:rPr>
          <w:rFonts w:ascii="Calibri" w:cs="Calibri" w:eastAsia="Calibri" w:hAnsi="Calibri"/>
          <w:sz w:val="22"/>
          <w:szCs w:val="22"/>
        </w:rPr>
        <w:t xml:space="preserve">Papineni, K., Roukos, S., Ward, T., &amp; Zhu, W.-J. (2002). BLEU: a method for automatic evaluation of machine translation. Proceedings of ACL.</w:t>
      </w:r>
    </w:p>
    <w:p>
      <w:pPr>
        <w:spacing w:after="140" w:line="300"/>
      </w:pPr>
      <w:r>
        <w:rPr>
          <w:rFonts w:ascii="Calibri" w:cs="Calibri" w:eastAsia="Calibri" w:hAnsi="Calibri"/>
          <w:sz w:val="22"/>
          <w:szCs w:val="22"/>
        </w:rPr>
        <w:t xml:space="preserve">Lin, C.-Y. (2004). ROUGE: A package for automatic evaluation of summaries. Text Summarization Branches 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DA9C4"/>
        <w:sz w:val="18"/>
        <w:szCs w:val="18"/>
      </w:rPr>
      <w:t xml:space="preserve">Page </w:t>
    </w:r>
    <w:r>
      <w:rPr>
        <w:rFonts w:ascii="Calibri" w:cs="Calibri" w:eastAsia="Calibri" w:hAnsi="Calibri"/>
        <w:color w:val="8DA9C4"/>
        <w:sz w:val="18"/>
        <w:szCs w:val="18"/>
      </w:rPr>
      <w:fldChar w:fldCharType="begin"/>
      <w:instrText xml:space="preserve">PAGE</w:instrText>
      <w:fldChar w:fldCharType="separate"/>
      <w:fldChar w:fldCharType="end"/>
    </w:r>
    <w:r>
      <w:rPr>
        <w:rFonts w:ascii="Calibri" w:cs="Calibri" w:eastAsia="Calibri" w:hAnsi="Calibri"/>
        <w:color w:val="8DA9C4"/>
        <w:sz w:val="18"/>
        <w:szCs w:val="18"/>
      </w:rPr>
      <w:t xml:space="preserve"> of </w:t>
    </w:r>
    <w:r>
      <w:rPr>
        <w:rFonts w:ascii="Calibri" w:cs="Calibri" w:eastAsia="Calibri" w:hAnsi="Calibri"/>
        <w:color w:val="8DA9C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DA9C4"/>
        <w:sz w:val="18"/>
        <w:szCs w:val="18"/>
      </w:rPr>
      <w:t xml:space="preserve">Literature Review · Scanlon et al.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Georgia" w:cs="Georgia" w:eastAsia="Georgia" w:hAnsi="Georgia"/>
      <w:b/>
      <w:bCs/>
      <w:color w:val="0B2545"/>
      <w:sz w:val="32"/>
      <w:szCs w:val="32"/>
    </w:rPr>
  </w:style>
  <w:style w:type="paragraph" w:styleId="Heading2">
    <w:name w:val="Heading 2"/>
    <w:basedOn w:val="Normal"/>
    <w:next w:val="Normal"/>
    <w:qFormat/>
    <w:pPr>
      <w:spacing w:after="140" w:before="240"/>
      <w:outlineLvl w:val="1"/>
    </w:pPr>
    <w:rPr>
      <w:rFonts w:ascii="Georgia" w:cs="Georgia" w:eastAsia="Georgia" w:hAnsi="Georgia"/>
      <w:b/>
      <w:bCs/>
      <w:color w:val="0B25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8 Literature Review</dc:title>
  <dc:creator>hash71</dc:creator>
  <cp:lastModifiedBy>Un-named</cp:lastModifiedBy>
  <cp:revision>1</cp:revision>
  <dcterms:created xsi:type="dcterms:W3CDTF">2026-04-10T18:04:53.701Z</dcterms:created>
  <dcterms:modified xsi:type="dcterms:W3CDTF">2026-04-10T18:04:53.701Z</dcterms:modified>
</cp:coreProperties>
</file>

<file path=docProps/custom.xml><?xml version="1.0" encoding="utf-8"?>
<Properties xmlns="http://schemas.openxmlformats.org/officeDocument/2006/custom-properties" xmlns:vt="http://schemas.openxmlformats.org/officeDocument/2006/docPropsVTypes"/>
</file>