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منحة قطر – برنامج التعليم فوق الجميع في الجامعة الأميركية في بيروت</w:t>
      </w:r>
    </w:p>
    <w:p>
      <w:pPr>
        <w:pStyle w:val="Subtitle"/>
      </w:pPr>
      <w:r>
        <w:rPr>
          <w:i/>
          <w:sz w:val="20"/>
        </w:rPr>
        <w:t>Edit this document in Drive — the site rebuilds from it. Slug: qatar-scholarship-aub.  Locale: ar.  Last (re)generated: 2026-08-11.</w:t>
      </w:r>
    </w:p>
    <w:p>
      <w:pPr>
        <w:pStyle w:val="Heading1"/>
      </w:pPr>
      <w:r>
        <w:t>Metadata</w:t>
      </w:r>
    </w:p>
    <w:tbl>
      <w:tblPr>
        <w:tblStyle w:val="LightList-Accent5"/>
        <w:tblW w:type="auto" w:w="0"/>
        <w:tblLook w:firstColumn="1" w:firstRow="1" w:lastColumn="0" w:lastRow="0" w:noHBand="0" w:noVBand="1" w:val="04A0"/>
      </w:tblPr>
      <w:tblGrid>
        <w:gridCol w:w="4320"/>
        <w:gridCol w:w="4320"/>
      </w:tblGrid>
      <w:tr>
        <w:tc>
          <w:tcPr>
            <w:tcW w:type="dxa" w:w="4320"/>
          </w:tcPr>
          <w:p>
            <w:r>
              <w:rPr>
                <w:b/>
              </w:rPr>
              <w:t>Key</w:t>
            </w:r>
          </w:p>
        </w:tc>
        <w:tc>
          <w:tcPr>
            <w:tcW w:type="dxa" w:w="4320"/>
          </w:tcPr>
          <w:p>
            <w:r>
              <w:rPr>
                <w:b/>
              </w:rPr>
              <w:t>Value</w:t>
            </w:r>
          </w:p>
        </w:tc>
      </w:tr>
      <w:tr>
        <w:tc>
          <w:tcPr>
            <w:tcW w:type="dxa" w:w="4320"/>
          </w:tcPr>
          <w:p>
            <w:r/>
            <w:r>
              <w:rPr>
                <w:b/>
              </w:rPr>
              <w:t>title</w:t>
            </w:r>
          </w:p>
        </w:tc>
        <w:tc>
          <w:tcPr>
            <w:tcW w:type="dxa" w:w="4320"/>
          </w:tcPr>
          <w:p>
            <w:r>
              <w:t>منحة قطر – برنامج التعليم فوق الجميع في الجامعة الأميركية في بيروت</w:t>
            </w:r>
          </w:p>
        </w:tc>
      </w:tr>
      <w:tr>
        <w:tc>
          <w:tcPr>
            <w:tcW w:type="dxa" w:w="4320"/>
          </w:tcPr>
          <w:p>
            <w:r/>
            <w:r>
              <w:rPr>
                <w:b/>
              </w:rPr>
              <w:t>sidebar_label</w:t>
            </w:r>
          </w:p>
        </w:tc>
        <w:tc>
          <w:tcPr>
            <w:tcW w:type="dxa" w:w="4320"/>
          </w:tcPr>
          <w:p>
            <w:r>
              <w:t>منحة قطر (AUB)</w:t>
            </w:r>
          </w:p>
        </w:tc>
      </w:tr>
      <w:tr>
        <w:tc>
          <w:tcPr>
            <w:tcW w:type="dxa" w:w="4320"/>
          </w:tcPr>
          <w:p>
            <w:r/>
            <w:r>
              <w:rPr>
                <w:b/>
              </w:rPr>
              <w:t>sidebar_position</w:t>
            </w:r>
          </w:p>
        </w:tc>
        <w:tc>
          <w:tcPr>
            <w:tcW w:type="dxa" w:w="4320"/>
          </w:tcPr>
          <w:p>
            <w:r>
              <w:t>11</w:t>
            </w:r>
          </w:p>
        </w:tc>
      </w:tr>
    </w:tbl>
    <w:p/>
    <w:p>
      <w:pPr>
        <w:pStyle w:val="Heading1"/>
      </w:pPr>
      <w:r>
        <w:t>نظرة عامة</w:t>
      </w:r>
    </w:p>
    <w:p>
      <w:r/>
      <w:r>
        <w:rPr>
          <w:b/>
        </w:rPr>
        <w:t>انتهى هذا البرنامج ولم يعد يستقبل متقدّمين جدد.</w:t>
      </w:r>
      <w:r>
        <w:t xml:space="preserve"> استمرّ من آب 2021 حتى حزيران 2025. تخرّجت الدفعة الأخيرة في حزيران 2025، وتصف مؤسسة التعليم فوق الجميع البرنامج بأنه اختُتم وقد «حقّق أهدافه وترك أثراً دائماً». المصدر: </w:t>
      </w:r>
      <w:hyperlink r:id="rId9">
        <w:r>
          <w:rPr>
            <w:rStyle w:val="Hyperlink"/>
          </w:rPr>
          <w:t xml:space="preserve">AUB — تخرّج الدفعة الأخيرة من 93 طالباً</w:t>
        </w:r>
      </w:hyperlink>
      <w:r>
        <w:t xml:space="preserve"> و</w:t>
      </w:r>
      <w:hyperlink r:id="rId10">
        <w:r>
          <w:rPr>
            <w:rStyle w:val="Hyperlink"/>
          </w:rPr>
          <w:t xml:space="preserve">The Peninsula، حزيران 2025</w:t>
        </w:r>
      </w:hyperlink>
      <w:r>
        <w:t>. تبقى هذه الصفحة كسجلّ لما كان يقدّمه البرنامج.</w:t>
      </w:r>
    </w:p>
    <w:p>
      <w:pPr>
        <w:pStyle w:val="ListBullet"/>
      </w:pPr>
      <w:r/>
      <w:r>
        <w:rPr>
          <w:b/>
        </w:rPr>
        <w:t>الجهة المانحة:</w:t>
      </w:r>
      <w:r>
        <w:t xml:space="preserve"> مؤسسة التعليم فوق الجميع (EAA)، عبر برنامج الفاخورة، بتمويل من الصندوق القطري للتنمية (QFFD). </w:t>
      </w:r>
      <w:hyperlink r:id="rId11">
        <w:r>
          <w:rPr>
            <w:rStyle w:val="Hyperlink"/>
          </w:rPr>
          <w:t xml:space="preserve">https://www.educationaboveall.org</w:t>
        </w:r>
      </w:hyperlink>
    </w:p>
    <w:p>
      <w:pPr>
        <w:pStyle w:val="ListBullet"/>
      </w:pPr>
      <w:r/>
      <w:r>
        <w:rPr>
          <w:b/>
        </w:rPr>
        <w:t>الجامعة المضيفة:</w:t>
      </w:r>
      <w:r>
        <w:t xml:space="preserve"> الجامعة الأميركية في بيروت، عبر مبادرة القيادة والإنصاف والتنوّع (LEAD). </w:t>
      </w:r>
      <w:hyperlink r:id="rId12">
        <w:r>
          <w:rPr>
            <w:rStyle w:val="Hyperlink"/>
          </w:rPr>
          <w:t xml:space="preserve">صفحة البرنامج في AUB</w:t>
        </w:r>
      </w:hyperlink>
    </w:p>
    <w:p>
      <w:pPr>
        <w:pStyle w:val="ListBullet"/>
      </w:pPr>
      <w:r/>
      <w:r>
        <w:rPr>
          <w:b/>
        </w:rPr>
        <w:t>شريك إضافي:</w:t>
      </w:r>
      <w:r>
        <w:t xml:space="preserve"> مؤسسة قطر، التي انضمّت لمكوّن الدراسة في قطر. </w:t>
      </w:r>
      <w:hyperlink r:id="rId13">
        <w:r>
          <w:rPr>
            <w:rStyle w:val="Hyperlink"/>
          </w:rPr>
          <w:t xml:space="preserve">AUB — الدراسة في قطر</w:t>
        </w:r>
      </w:hyperlink>
    </w:p>
    <w:p>
      <w:pPr>
        <w:pStyle w:val="ListBullet"/>
      </w:pPr>
      <w:r/>
      <w:r>
        <w:rPr>
          <w:b/>
        </w:rPr>
        <w:t>النوع:</w:t>
      </w:r>
      <w:r>
        <w:t xml:space="preserve"> منحة مؤسسة مموّلة من الخارج، مرتبطة بجامعة واحدة.</w:t>
      </w:r>
    </w:p>
    <w:p>
      <w:pPr>
        <w:pStyle w:val="ListBullet"/>
      </w:pPr>
      <w:r/>
      <w:r>
        <w:rPr>
          <w:b/>
        </w:rPr>
        <w:t>الوصف:</w:t>
      </w:r>
      <w:r>
        <w:t xml:space="preserve"> برنامج مدّته أربع سنوات لتمويل درجات البكالوريوس في AUB لطلاب لبنانيين وفلسطينيين وسوريين مهمّشين في لبنان، يجمع بين تغطية كاملة للأقساط وخدمات دعم طلابي ومشاركة مدنية وفرص تواصل محلية ودولية. أُعلنت الشراكة في آب 2021 كمذكّرة تفاهم مدّتها خمس سنوات مع فترة تسليم منح مدّتها أربع سنوات، ووُقّعت بحضور وزارة التربية والتعليم العالي اللبنانية. </w:t>
      </w:r>
      <w:hyperlink r:id="rId14">
        <w:r>
          <w:rPr>
            <w:rStyle w:val="Hyperlink"/>
          </w:rPr>
          <w:t xml:space="preserve">إعلان AUB، آب 2021</w:t>
        </w:r>
      </w:hyperlink>
    </w:p>
    <w:p>
      <w:pPr>
        <w:pStyle w:val="ListBullet"/>
      </w:pPr>
      <w:r/>
      <w:r>
        <w:rPr>
          <w:b/>
        </w:rPr>
        <w:t>شعار البرنامج:</w:t>
      </w:r>
      <w:r>
        <w:t xml:space="preserve"> A.C.E — الوصول إلى تعليم جيّد، التواصل محلياً ودولياً، الانخراط في فرص ذات معنى. </w:t>
      </w:r>
      <w:hyperlink r:id="rId15">
        <w:r>
          <w:rPr>
            <w:rStyle w:val="Hyperlink"/>
          </w:rPr>
          <w:t xml:space="preserve">كتيّب البرنامج في AUB (PDF)</w:t>
        </w:r>
      </w:hyperlink>
    </w:p>
    <w:p>
      <w:pPr>
        <w:pStyle w:val="ListBullet"/>
      </w:pPr>
      <w:r/>
      <w:r>
        <w:rPr>
          <w:b/>
        </w:rPr>
        <w:t>مدير البرنامج في AUB:</w:t>
      </w:r>
      <w:r>
        <w:t xml:space="preserve"> البروفسور جوزف قسطنطين. </w:t>
      </w:r>
      <w:hyperlink r:id="rId16">
        <w:r>
          <w:rPr>
            <w:rStyle w:val="Hyperlink"/>
          </w:rPr>
          <w:t xml:space="preserve">بيان AUB الصحفي، حزيران 2024 (PDF)</w:t>
        </w:r>
      </w:hyperlink>
    </w:p>
    <w:p>
      <w:r/>
      <w:r>
        <w:rPr>
          <w:b/>
        </w:rPr>
        <w:t>الحجم.</w:t>
      </w:r>
      <w:r>
        <w:t xml:space="preserve"> كان الهدف المعلن 400 منحة بكالوريوس، موزّعة بنسبة 78% للبنانيين المهمّشين و22% للاجئين السوريين والفلسطينيين. </w:t>
      </w:r>
      <w:hyperlink r:id="rId17">
        <w:r>
          <w:rPr>
            <w:rStyle w:val="Hyperlink"/>
          </w:rPr>
          <w:t xml:space="preserve">صفحة المشروع لدى EAA</w:t>
        </w:r>
      </w:hyperlink>
      <w:r>
        <w:t xml:space="preserve">. وعند اختتام البرنامج، أعلنت AUB دعم 316 طالباً إجمالاً. </w:t>
      </w:r>
      <w:hyperlink r:id="rId9">
        <w:r>
          <w:rPr>
            <w:rStyle w:val="Hyperlink"/>
          </w:rPr>
          <w:t xml:space="preserve">AUB، حزيران 2025</w:t>
        </w:r>
      </w:hyperlink>
      <w:r>
        <w:t>. الرقمان من مصدرين مختلفين ويُذكران هنا كما نُشرا.</w:t>
      </w:r>
    </w:p>
    <w:p>
      <w:r/>
      <w:r>
        <w:rPr>
          <w:b/>
        </w:rPr>
        <w:t>محطات موثّقة</w:t>
      </w:r>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r>
            <w:r>
              <w:rPr>
                <w:b/>
              </w:rPr>
            </w:r>
            <w:r>
              <w:rPr>
                <w:b/>
              </w:rPr>
              <w:t>التاريخ</w:t>
            </w:r>
            <w:r>
              <w:rPr>
                <w:b/>
              </w:rPr>
            </w:r>
          </w:p>
        </w:tc>
        <w:tc>
          <w:tcPr>
            <w:tcW w:type="dxa" w:w="2880"/>
            <w:vAlign w:val="center"/>
          </w:tcPr>
          <w:p>
            <w:r>
              <w:rPr>
                <w:b/>
              </w:rPr>
            </w:r>
            <w:r>
              <w:rPr>
                <w:b/>
              </w:rPr>
            </w:r>
            <w:r>
              <w:rPr>
                <w:b/>
              </w:rPr>
              <w:t>المحطة</w:t>
            </w:r>
            <w:r>
              <w:rPr>
                <w:b/>
              </w:rPr>
            </w:r>
          </w:p>
        </w:tc>
        <w:tc>
          <w:tcPr>
            <w:tcW w:type="dxa" w:w="2880"/>
            <w:vAlign w:val="center"/>
          </w:tcPr>
          <w:p>
            <w:r>
              <w:rPr>
                <w:b/>
              </w:rPr>
            </w:r>
            <w:r>
              <w:rPr>
                <w:b/>
              </w:rPr>
            </w:r>
            <w:r>
              <w:rPr>
                <w:b/>
              </w:rPr>
              <w:t>المصدر</w:t>
            </w:r>
            <w:r>
              <w:rPr>
                <w:b/>
              </w:rPr>
            </w:r>
          </w:p>
        </w:tc>
      </w:tr>
      <w:tr>
        <w:tc>
          <w:tcPr>
            <w:tcW w:type="dxa" w:w="2880"/>
            <w:vAlign w:val="center"/>
          </w:tcPr>
          <w:p>
            <w:r/>
            <w:r>
              <w:t>آب 2021</w:t>
            </w:r>
          </w:p>
        </w:tc>
        <w:tc>
          <w:tcPr>
            <w:tcW w:type="dxa" w:w="2880"/>
            <w:vAlign w:val="center"/>
          </w:tcPr>
          <w:p>
            <w:r/>
            <w:r>
              <w:t>الإعلان عن الشراكة وانطلاق البرنامج</w:t>
            </w:r>
          </w:p>
        </w:tc>
        <w:tc>
          <w:tcPr>
            <w:tcW w:type="dxa" w:w="2880"/>
            <w:vAlign w:val="center"/>
          </w:tcPr>
          <w:p>
            <w:r/>
            <w:hyperlink r:id="rId14">
              <w:r>
                <w:rPr>
                  <w:rStyle w:val="Hyperlink"/>
                </w:rPr>
                <w:t xml:space="preserve">AUB</w:t>
              </w:r>
            </w:hyperlink>
          </w:p>
        </w:tc>
      </w:tr>
      <w:tr>
        <w:tc>
          <w:tcPr>
            <w:tcW w:type="dxa" w:w="2880"/>
            <w:vAlign w:val="center"/>
          </w:tcPr>
          <w:p>
            <w:r/>
            <w:r>
              <w:t>شباط 2022</w:t>
            </w:r>
          </w:p>
        </w:tc>
        <w:tc>
          <w:tcPr>
            <w:tcW w:type="dxa" w:w="2880"/>
            <w:vAlign w:val="center"/>
          </w:tcPr>
          <w:p>
            <w:r/>
            <w:r>
              <w:t>الاحتفال بالدفعة الأولى المؤلّفة من 120 طالباً</w:t>
            </w:r>
          </w:p>
        </w:tc>
        <w:tc>
          <w:tcPr>
            <w:tcW w:type="dxa" w:w="2880"/>
            <w:vAlign w:val="center"/>
          </w:tcPr>
          <w:p>
            <w:r/>
            <w:hyperlink r:id="rId18">
              <w:r>
                <w:rPr>
                  <w:rStyle w:val="Hyperlink"/>
                </w:rPr>
                <w:t xml:space="preserve">AUB</w:t>
              </w:r>
            </w:hyperlink>
          </w:p>
        </w:tc>
      </w:tr>
      <w:tr>
        <w:tc>
          <w:tcPr>
            <w:tcW w:type="dxa" w:w="2880"/>
            <w:vAlign w:val="center"/>
          </w:tcPr>
          <w:p>
            <w:r/>
            <w:r>
              <w:t>التاريخ غير متوفّر</w:t>
            </w:r>
          </w:p>
        </w:tc>
        <w:tc>
          <w:tcPr>
            <w:tcW w:type="dxa" w:w="2880"/>
            <w:vAlign w:val="center"/>
          </w:tcPr>
          <w:p>
            <w:r/>
            <w:r>
              <w:t>تخرّج 62 طالباً</w:t>
            </w:r>
          </w:p>
        </w:tc>
        <w:tc>
          <w:tcPr>
            <w:tcW w:type="dxa" w:w="2880"/>
            <w:vAlign w:val="center"/>
          </w:tcPr>
          <w:p>
            <w:r/>
            <w:hyperlink r:id="rId19">
              <w:r>
                <w:rPr>
                  <w:rStyle w:val="Hyperlink"/>
                </w:rPr>
                <w:t xml:space="preserve">الوكالة الوطنية للإعلام</w:t>
              </w:r>
            </w:hyperlink>
          </w:p>
        </w:tc>
      </w:tr>
      <w:tr>
        <w:tc>
          <w:tcPr>
            <w:tcW w:type="dxa" w:w="2880"/>
            <w:vAlign w:val="center"/>
          </w:tcPr>
          <w:p>
            <w:r/>
            <w:r>
              <w:t>تشرين الثاني 2023</w:t>
            </w:r>
          </w:p>
        </w:tc>
        <w:tc>
          <w:tcPr>
            <w:tcW w:type="dxa" w:w="2880"/>
            <w:vAlign w:val="center"/>
          </w:tcPr>
          <w:p>
            <w:r/>
            <w:r>
              <w:t>الإعلان عن مكوّن الدراسة في قطر</w:t>
            </w:r>
          </w:p>
        </w:tc>
        <w:tc>
          <w:tcPr>
            <w:tcW w:type="dxa" w:w="2880"/>
            <w:vAlign w:val="center"/>
          </w:tcPr>
          <w:p>
            <w:r/>
            <w:hyperlink r:id="rId13">
              <w:r>
                <w:rPr>
                  <w:rStyle w:val="Hyperlink"/>
                </w:rPr>
                <w:t xml:space="preserve">AUB</w:t>
              </w:r>
            </w:hyperlink>
          </w:p>
        </w:tc>
      </w:tr>
      <w:tr>
        <w:tc>
          <w:tcPr>
            <w:tcW w:type="dxa" w:w="2880"/>
            <w:vAlign w:val="center"/>
          </w:tcPr>
          <w:p>
            <w:r/>
            <w:r>
              <w:t>حزيران 2024</w:t>
            </w:r>
          </w:p>
        </w:tc>
        <w:tc>
          <w:tcPr>
            <w:tcW w:type="dxa" w:w="2880"/>
            <w:vAlign w:val="center"/>
          </w:tcPr>
          <w:p>
            <w:r/>
            <w:r>
              <w:t>تخرّج 120 طالباً</w:t>
            </w:r>
          </w:p>
        </w:tc>
        <w:tc>
          <w:tcPr>
            <w:tcW w:type="dxa" w:w="2880"/>
            <w:vAlign w:val="center"/>
          </w:tcPr>
          <w:p>
            <w:r/>
            <w:hyperlink r:id="rId16">
              <w:r>
                <w:rPr>
                  <w:rStyle w:val="Hyperlink"/>
                </w:rPr>
                <w:t xml:space="preserve">بيان AUB الصحفي (PDF)</w:t>
              </w:r>
            </w:hyperlink>
          </w:p>
        </w:tc>
      </w:tr>
      <w:tr>
        <w:tc>
          <w:tcPr>
            <w:tcW w:type="dxa" w:w="2880"/>
            <w:vAlign w:val="center"/>
          </w:tcPr>
          <w:p>
            <w:r/>
            <w:r>
              <w:t>حزيران 2025</w:t>
            </w:r>
          </w:p>
        </w:tc>
        <w:tc>
          <w:tcPr>
            <w:tcW w:type="dxa" w:w="2880"/>
            <w:vAlign w:val="center"/>
          </w:tcPr>
          <w:p>
            <w:r/>
            <w:r>
              <w:t>تخرّج الدفعة الأخيرة (93 طالباً) واختتام البرنامج</w:t>
            </w:r>
          </w:p>
        </w:tc>
        <w:tc>
          <w:tcPr>
            <w:tcW w:type="dxa" w:w="2880"/>
            <w:vAlign w:val="center"/>
          </w:tcPr>
          <w:p>
            <w:r/>
            <w:hyperlink r:id="rId9">
              <w:r>
                <w:rPr>
                  <w:rStyle w:val="Hyperlink"/>
                </w:rPr>
                <w:t xml:space="preserve">AUB</w:t>
              </w:r>
            </w:hyperlink>
          </w:p>
        </w:tc>
      </w:tr>
    </w:tbl>
    <w:p>
      <w:r/>
      <w:r>
        <w:rPr>
          <w:b/>
        </w:rPr>
        <w:t>ملاحظة حول الصفحات الرسمية.</w:t>
      </w:r>
      <w:r>
        <w:t xml:space="preserve"> ما زالت صفحة المشروع لدى EAA تُظهر حالة المشروع على أنها «نشط». لكن إعلانات AUB وEAA في حزيران 2025 تصف البرنامج بأنه مكتمل، ما يعني أن حقل الحالة يبدو غير محدّث. عند البحث عن هذا البرنامج، اعتمد إعلانات حزيران 2025 كمرجع.</w:t>
      </w:r>
    </w:p>
    <w:p/>
    <w:p>
      <w:pPr>
        <w:pStyle w:val="Heading1"/>
      </w:pPr>
      <w:r>
        <w:t>شروط القبول والخلفية</w:t>
      </w:r>
    </w:p>
    <w:p>
      <w:r>
        <w:t xml:space="preserve">هذه هي معايير الاختيار كما نُشرت في كتيّب البرنامج الرسمي الصادر عن AUB. كانت سارية أثناء استقبال البرنامج للطلاب؛ ولم تُفتح أي دورة تقديم منذ تخرّج الدفعة الأخيرة. المصدر: </w:t>
      </w:r>
      <w:hyperlink r:id="rId15">
        <w:r>
          <w:rPr>
            <w:rStyle w:val="Hyperlink"/>
          </w:rPr>
          <w:t xml:space="preserve">كتيّب البرنامج في AUB (PDF)</w:t>
        </w:r>
      </w:hyperlink>
      <w:r>
        <w:t>.</w:t>
      </w:r>
    </w:p>
    <w:p>
      <w:pPr>
        <w:pStyle w:val="ListBullet"/>
      </w:pPr>
      <w:r/>
      <w:r>
        <w:rPr>
          <w:b/>
        </w:rPr>
        <w:t>المستوى الأكاديمي:</w:t>
      </w:r>
      <w:r>
        <w:t xml:space="preserve"> طلاب بكالوريوس مسجّلون أصلاً في AUB. لم تكن منحة قبول للطلاب الجدد.</w:t>
      </w:r>
    </w:p>
    <w:p>
      <w:pPr>
        <w:pStyle w:val="ListBullet"/>
      </w:pPr>
      <w:r/>
      <w:r>
        <w:rPr>
          <w:b/>
        </w:rPr>
        <w:t>الجنسية:</w:t>
      </w:r>
      <w:r>
        <w:t xml:space="preserve"> لبنانية أو فلسطينية أو سورية.</w:t>
      </w:r>
    </w:p>
    <w:p>
      <w:pPr>
        <w:pStyle w:val="ListBullet"/>
      </w:pPr>
      <w:r/>
      <w:r>
        <w:rPr>
          <w:b/>
        </w:rPr>
        <w:t>وضع المنح القائم:</w:t>
      </w:r>
      <w:r>
        <w:t xml:space="preserve"> كان على المتقدّم أن يكون حاصلاً أصلاً على منحة أخرى، ومستفيداً أصلاً من تغطية كاملة للأقساط. عملياً، تولّى البرنامج تمويل طلاب سبق أن اختارتهم AUB للمساعدة المالية بدل إجراء مباراة عامة مفتوحة.</w:t>
      </w:r>
    </w:p>
    <w:p>
      <w:pPr>
        <w:pStyle w:val="ListBullet"/>
      </w:pPr>
      <w:r/>
      <w:r>
        <w:rPr>
          <w:b/>
        </w:rPr>
        <w:t>المعدّل التراكمي:</w:t>
      </w:r>
      <w:r>
        <w:t xml:space="preserve"> أعلى من 2.8 من 4.</w:t>
      </w:r>
    </w:p>
    <w:p>
      <w:pPr>
        <w:pStyle w:val="ListBullet"/>
      </w:pPr>
      <w:r/>
      <w:r>
        <w:rPr>
          <w:b/>
        </w:rPr>
        <w:t>موعد التخرّج المتوقّع:</w:t>
      </w:r>
      <w:r>
        <w:t xml:space="preserve"> كان على الطلاب التخرّج بحلول ربيع 2024–2025 كحدّ أقصى، ما حصر البرنامج ضمن فترة التسليم البالغة أربع سنوات.</w:t>
      </w:r>
    </w:p>
    <w:p>
      <w:pPr>
        <w:pStyle w:val="ListBullet"/>
      </w:pPr>
      <w:r/>
      <w:r>
        <w:rPr>
          <w:b/>
        </w:rPr>
        <w:t>الحاجة المالية:</w:t>
      </w:r>
      <w:r>
        <w:t xml:space="preserve"> مطلوبة. تصف AUB المستفيدين بأنهم طلاب «مستحقّون ومؤهّلون» مالياً من مجتمعات مهمّشة وهشّة، اختيروا جزئياً بناءً على «الانسجام مع روح المنحة وأهدافها كما يتّضح من اختيارهم السابق لبرامج منح في الجامعة». </w:t>
      </w:r>
      <w:hyperlink r:id="rId18">
        <w:r>
          <w:rPr>
            <w:rStyle w:val="Hyperlink"/>
          </w:rPr>
          <w:t xml:space="preserve">AUB، الدفعة الأولى</w:t>
        </w:r>
      </w:hyperlink>
    </w:p>
    <w:p>
      <w:pPr>
        <w:pStyle w:val="ListBullet"/>
      </w:pPr>
      <w:r/>
      <w:r>
        <w:rPr>
          <w:b/>
        </w:rPr>
        <w:t>معدّل الثانوية / البكالوريا:</w:t>
      </w:r>
      <w:r>
        <w:t xml:space="preserve"> غير متوفّر. لم يُنشر أي معدّل دخول؛ ورقم 2.8/4 هو معدّل جامعي لطلاب مسجّلين أصلاً.</w:t>
      </w:r>
    </w:p>
    <w:p>
      <w:pPr>
        <w:pStyle w:val="ListBullet"/>
      </w:pPr>
      <w:r/>
      <w:r>
        <w:rPr>
          <w:b/>
        </w:rPr>
        <w:t>حدّ العمر:</w:t>
      </w:r>
      <w:r>
        <w:t xml:space="preserve"> غير متوفّر.</w:t>
      </w:r>
    </w:p>
    <w:p>
      <w:pPr>
        <w:pStyle w:val="ListBullet"/>
      </w:pPr>
      <w:r/>
      <w:r>
        <w:rPr>
          <w:b/>
        </w:rPr>
        <w:t>الكليات والاختصاصات المؤهّلة:</w:t>
      </w:r>
      <w:r>
        <w:t xml:space="preserve"> غير متوفّرة كقائمة منشورة. تصف AUB دفعات الخرّيجين بأنها «تشمل اختصاصات وتخصّصات متنوّعة». </w:t>
      </w:r>
      <w:hyperlink r:id="rId16">
        <w:r>
          <w:rPr>
            <w:rStyle w:val="Hyperlink"/>
          </w:rPr>
          <w:t xml:space="preserve">بيان AUB الصحفي، حزيران 2024 (PDF)</w:t>
        </w:r>
      </w:hyperlink>
    </w:p>
    <w:p/>
    <w:p>
      <w:pPr>
        <w:pStyle w:val="Heading1"/>
      </w:pPr>
      <w:r>
        <w:t>نافذة التقديم</w:t>
      </w:r>
    </w:p>
    <w:p>
      <w:r/>
      <w:r>
        <w:rPr>
          <w:b/>
        </w:rPr>
        <w:t>لا توجد نافذة تقديم مفتوحة.</w:t>
      </w:r>
      <w:r>
        <w:t xml:space="preserve"> اختُتم البرنامج في حزيران 2025 ولم يعد يستقبل طلبات. </w:t>
      </w:r>
      <w:hyperlink r:id="rId9">
        <w:r>
          <w:rPr>
            <w:rStyle w:val="Hyperlink"/>
          </w:rPr>
          <w:t xml:space="preserve">AUB، حزيران 2025</w:t>
        </w:r>
      </w:hyperlink>
    </w:p>
    <w:p>
      <w:r>
        <w:t>لم تُنشر على موقعَي AUB أو EAA أي بوابة تقديم عامة أو موعد نهائي أو قائمة وثائق مطلوبة لهذا البرنامج. وتشير معايير الكتيّب إلى أن المستفيدين اختيروا من بين طلاب AUB الحاصلين أصلاً على مساعدة مالية بدل التقديم عبر دعوة مفتوحة، وهو ما ينسجم مع غياب أي عملية تقديم علنية.</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r>
            <w:r>
              <w:rPr>
                <w:b/>
              </w:rPr>
            </w:r>
            <w:r>
              <w:rPr>
                <w:b/>
              </w:rPr>
              <w:t>المرحلة</w:t>
            </w:r>
            <w:r>
              <w:rPr>
                <w:b/>
              </w:rPr>
            </w:r>
          </w:p>
        </w:tc>
        <w:tc>
          <w:tcPr>
            <w:tcW w:type="dxa" w:w="2880"/>
            <w:vAlign w:val="center"/>
          </w:tcPr>
          <w:p>
            <w:r>
              <w:rPr>
                <w:b/>
              </w:rPr>
            </w:r>
            <w:r>
              <w:rPr>
                <w:b/>
              </w:rPr>
            </w:r>
            <w:r>
              <w:rPr>
                <w:b/>
              </w:rPr>
              <w:t>التاريخ</w:t>
            </w:r>
            <w:r>
              <w:rPr>
                <w:b/>
              </w:rPr>
            </w:r>
          </w:p>
        </w:tc>
        <w:tc>
          <w:tcPr>
            <w:tcW w:type="dxa" w:w="2880"/>
            <w:vAlign w:val="center"/>
          </w:tcPr>
          <w:p>
            <w:r>
              <w:rPr>
                <w:b/>
              </w:rPr>
            </w:r>
            <w:r>
              <w:rPr>
                <w:b/>
              </w:rPr>
            </w:r>
            <w:r>
              <w:rPr>
                <w:b/>
              </w:rPr>
              <w:t>المرجع</w:t>
            </w:r>
            <w:r>
              <w:rPr>
                <w:b/>
              </w:rPr>
            </w:r>
          </w:p>
        </w:tc>
      </w:tr>
      <w:tr>
        <w:tc>
          <w:tcPr>
            <w:tcW w:type="dxa" w:w="2880"/>
            <w:vAlign w:val="center"/>
          </w:tcPr>
          <w:p>
            <w:r/>
            <w:r>
              <w:t>فتح التقديم</w:t>
            </w:r>
          </w:p>
        </w:tc>
        <w:tc>
          <w:tcPr>
            <w:tcW w:type="dxa" w:w="2880"/>
            <w:vAlign w:val="center"/>
          </w:tcPr>
          <w:p>
            <w:r/>
            <w:r>
              <w:t>غير متوفّر — لا توجد دورة تقديم عامة موثّقة</w:t>
            </w:r>
          </w:p>
        </w:tc>
        <w:tc>
          <w:tcPr>
            <w:tcW w:type="dxa" w:w="2880"/>
            <w:vAlign w:val="center"/>
          </w:tcPr>
          <w:p>
            <w:r/>
            <w:hyperlink r:id="rId12">
              <w:r>
                <w:rPr>
                  <w:rStyle w:val="Hyperlink"/>
                </w:rPr>
                <w:t xml:space="preserve">صفحة البرنامج في AUB</w:t>
              </w:r>
            </w:hyperlink>
          </w:p>
        </w:tc>
      </w:tr>
      <w:tr>
        <w:tc>
          <w:tcPr>
            <w:tcW w:type="dxa" w:w="2880"/>
            <w:vAlign w:val="center"/>
          </w:tcPr>
          <w:p>
            <w:r/>
            <w:r>
              <w:t>إقفال التقديم</w:t>
            </w:r>
          </w:p>
        </w:tc>
        <w:tc>
          <w:tcPr>
            <w:tcW w:type="dxa" w:w="2880"/>
            <w:vAlign w:val="center"/>
          </w:tcPr>
          <w:p>
            <w:r/>
            <w:r>
              <w:t>غير متوفّر — لا توجد دورة تقديم عامة موثّقة</w:t>
            </w:r>
          </w:p>
        </w:tc>
        <w:tc>
          <w:tcPr>
            <w:tcW w:type="dxa" w:w="2880"/>
            <w:vAlign w:val="center"/>
          </w:tcPr>
          <w:p>
            <w:r/>
            <w:hyperlink r:id="rId12">
              <w:r>
                <w:rPr>
                  <w:rStyle w:val="Hyperlink"/>
                </w:rPr>
                <w:t xml:space="preserve">صفحة البرنامج في AUB</w:t>
              </w:r>
            </w:hyperlink>
          </w:p>
        </w:tc>
      </w:tr>
      <w:tr>
        <w:tc>
          <w:tcPr>
            <w:tcW w:type="dxa" w:w="2880"/>
            <w:vAlign w:val="center"/>
          </w:tcPr>
          <w:p>
            <w:r/>
            <w:r>
              <w:t>المقابلات</w:t>
            </w:r>
          </w:p>
        </w:tc>
        <w:tc>
          <w:tcPr>
            <w:tcW w:type="dxa" w:w="2880"/>
            <w:vAlign w:val="center"/>
          </w:tcPr>
          <w:p>
            <w:r/>
            <w:r>
              <w:t>غير متوفّر</w:t>
            </w:r>
          </w:p>
        </w:tc>
        <w:tc>
          <w:tcPr>
            <w:tcW w:type="dxa" w:w="2880"/>
            <w:vAlign w:val="center"/>
          </w:tcPr>
          <w:p>
            <w:r/>
            <w:hyperlink r:id="rId15">
              <w:r>
                <w:rPr>
                  <w:rStyle w:val="Hyperlink"/>
                </w:rPr>
                <w:t xml:space="preserve">كتيّب البرنامج في AUB (PDF)</w:t>
              </w:r>
            </w:hyperlink>
          </w:p>
        </w:tc>
      </w:tr>
      <w:tr>
        <w:tc>
          <w:tcPr>
            <w:tcW w:type="dxa" w:w="2880"/>
            <w:vAlign w:val="center"/>
          </w:tcPr>
          <w:p>
            <w:r/>
            <w:r>
              <w:t>النتائج</w:t>
            </w:r>
          </w:p>
        </w:tc>
        <w:tc>
          <w:tcPr>
            <w:tcW w:type="dxa" w:w="2880"/>
            <w:vAlign w:val="center"/>
          </w:tcPr>
          <w:p>
            <w:r/>
            <w:r>
              <w:t>غير متوفّر</w:t>
            </w:r>
          </w:p>
        </w:tc>
        <w:tc>
          <w:tcPr>
            <w:tcW w:type="dxa" w:w="2880"/>
            <w:vAlign w:val="center"/>
          </w:tcPr>
          <w:p>
            <w:r/>
            <w:hyperlink r:id="rId15">
              <w:r>
                <w:rPr>
                  <w:rStyle w:val="Hyperlink"/>
                </w:rPr>
                <w:t xml:space="preserve">كتيّب البرنامج في AUB (PDF)</w:t>
              </w:r>
            </w:hyperlink>
          </w:p>
        </w:tc>
      </w:tr>
      <w:tr>
        <w:tc>
          <w:tcPr>
            <w:tcW w:type="dxa" w:w="2880"/>
            <w:vAlign w:val="center"/>
          </w:tcPr>
          <w:p>
            <w:r/>
            <w:r>
              <w:t>إقفال البرنامج أمام المتقدّمين الجدد</w:t>
            </w:r>
          </w:p>
        </w:tc>
        <w:tc>
          <w:tcPr>
            <w:tcW w:type="dxa" w:w="2880"/>
            <w:vAlign w:val="center"/>
          </w:tcPr>
          <w:p>
            <w:r/>
            <w:r>
              <w:t>حزيران 2025</w:t>
            </w:r>
          </w:p>
        </w:tc>
        <w:tc>
          <w:tcPr>
            <w:tcW w:type="dxa" w:w="2880"/>
            <w:vAlign w:val="center"/>
          </w:tcPr>
          <w:p>
            <w:r/>
            <w:hyperlink r:id="rId9">
              <w:r>
                <w:rPr>
                  <w:rStyle w:val="Hyperlink"/>
                </w:rPr>
                <w:t xml:space="preserve">AUB</w:t>
              </w:r>
            </w:hyperlink>
          </w:p>
        </w:tc>
      </w:tr>
    </w:tbl>
    <w:p>
      <w:r/>
      <w:r>
        <w:rPr>
          <w:b/>
        </w:rPr>
        <w:t>الوثائق المطلوبة:</w:t>
      </w:r>
      <w:r>
        <w:t xml:space="preserve"> غير متوفّرة. لم تُنشر أي قائمة وثائق.</w:t>
      </w:r>
    </w:p>
    <w:p>
      <w:r/>
      <w:r>
        <w:rPr>
          <w:b/>
        </w:rPr>
        <w:t>إذا كنت تبحث عن مساعدة مالية حالية في AUB:</w:t>
      </w:r>
      <w:r>
        <w:t xml:space="preserve"> هذا البرنامج مقفل، لكن AUB تدير برامج مساعدة مالية ومنح خاصة بها. راجع صفحات AUB الرسمية، وكذلك المنح الأخرى المدرجة في هذا الموقع.</w:t>
      </w:r>
    </w:p>
    <w:p/>
    <w:p>
      <w:pPr>
        <w:pStyle w:val="Heading1"/>
      </w:pPr>
      <w:r>
        <w:t>الجامعات المدعومة</w:t>
      </w:r>
    </w:p>
    <w:p>
      <w:r>
        <w:t>موّلت المنحة الدراسة في جامعة واحدة فقط. وأتاح مكوّن منفصل للدراسة في الخارج لعدد محدود من المستفيدين قضاء فصل دراسي في جامعات شريكة في قطر.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r>
              <w:rPr>
                <w:b/>
              </w:rPr>
            </w:r>
            <w:r>
              <w:rPr>
                <w:b/>
              </w:rPr>
            </w:r>
            <w:r>
              <w:rPr>
                <w:b/>
              </w:rPr>
              <w:t>الجامعة</w:t>
            </w:r>
            <w:r>
              <w:rPr>
                <w:b/>
              </w:rPr>
            </w:r>
          </w:p>
        </w:tc>
        <w:tc>
          <w:tcPr>
            <w:tcW w:type="dxa" w:w="2160"/>
            <w:vAlign w:val="center"/>
          </w:tcPr>
          <w:p>
            <w:r>
              <w:rPr>
                <w:b/>
              </w:rPr>
            </w:r>
            <w:r>
              <w:rPr>
                <w:b/>
              </w:rPr>
            </w:r>
            <w:r>
              <w:rPr>
                <w:b/>
              </w:rPr>
              <w:t>البلد</w:t>
            </w:r>
            <w:r>
              <w:rPr>
                <w:b/>
              </w:rPr>
            </w:r>
          </w:p>
        </w:tc>
        <w:tc>
          <w:tcPr>
            <w:tcW w:type="dxa" w:w="2160"/>
            <w:vAlign w:val="center"/>
          </w:tcPr>
          <w:p>
            <w:r>
              <w:rPr>
                <w:b/>
              </w:rPr>
            </w:r>
            <w:r>
              <w:rPr>
                <w:b/>
              </w:rPr>
            </w:r>
            <w:r>
              <w:rPr>
                <w:b/>
              </w:rPr>
              <w:t>الدور</w:t>
            </w:r>
            <w:r>
              <w:rPr>
                <w:b/>
              </w:rPr>
            </w:r>
          </w:p>
        </w:tc>
        <w:tc>
          <w:tcPr>
            <w:tcW w:type="dxa" w:w="2160"/>
            <w:vAlign w:val="center"/>
          </w:tcPr>
          <w:p>
            <w:r>
              <w:rPr>
                <w:b/>
              </w:rPr>
            </w:r>
            <w:r>
              <w:rPr>
                <w:b/>
              </w:rPr>
            </w:r>
            <w:r>
              <w:rPr>
                <w:b/>
              </w:rPr>
              <w:t>المصدر</w:t>
            </w:r>
            <w:r>
              <w:rPr>
                <w:b/>
              </w:rPr>
            </w:r>
          </w:p>
        </w:tc>
      </w:tr>
      <w:tr>
        <w:tc>
          <w:tcPr>
            <w:tcW w:type="dxa" w:w="2160"/>
            <w:vAlign w:val="center"/>
          </w:tcPr>
          <w:p>
            <w:r/>
            <w:r>
              <w:t>American University of Beirut (AUB)</w:t>
            </w:r>
          </w:p>
        </w:tc>
        <w:tc>
          <w:tcPr>
            <w:tcW w:type="dxa" w:w="2160"/>
            <w:vAlign w:val="center"/>
          </w:tcPr>
          <w:p>
            <w:r/>
            <w:r>
              <w:t>لبنان</w:t>
            </w:r>
          </w:p>
        </w:tc>
        <w:tc>
          <w:tcPr>
            <w:tcW w:type="dxa" w:w="2160"/>
            <w:vAlign w:val="center"/>
          </w:tcPr>
          <w:p>
            <w:r/>
            <w:r>
              <w:t>الجامعة المانحة للشهادة لجميع المستفيدين</w:t>
            </w:r>
          </w:p>
        </w:tc>
        <w:tc>
          <w:tcPr>
            <w:tcW w:type="dxa" w:w="2160"/>
            <w:vAlign w:val="center"/>
          </w:tcPr>
          <w:p>
            <w:r/>
            <w:hyperlink r:id="rId12">
              <w:r>
                <w:rPr>
                  <w:rStyle w:val="Hyperlink"/>
                </w:rPr>
                <w:t xml:space="preserve">صفحة البرنامج في AUB</w:t>
              </w:r>
            </w:hyperlink>
          </w:p>
        </w:tc>
      </w:tr>
      <w:tr>
        <w:tc>
          <w:tcPr>
            <w:tcW w:type="dxa" w:w="2160"/>
            <w:vAlign w:val="center"/>
          </w:tcPr>
          <w:p>
            <w:r/>
            <w:r>
              <w:t>Carnegie Mellon University in Qatar</w:t>
            </w:r>
          </w:p>
        </w:tc>
        <w:tc>
          <w:tcPr>
            <w:tcW w:type="dxa" w:w="2160"/>
            <w:vAlign w:val="center"/>
          </w:tcPr>
          <w:p>
            <w:r/>
            <w:r>
              <w:t>قطر</w:t>
            </w:r>
          </w:p>
        </w:tc>
        <w:tc>
          <w:tcPr>
            <w:tcW w:type="dxa" w:w="2160"/>
            <w:vAlign w:val="center"/>
          </w:tcPr>
          <w:p>
            <w:r/>
            <w:r>
              <w:t>جامعة مضيفة لبرنامج الدراسة في قطر، من ربيع 2024</w:t>
            </w:r>
          </w:p>
        </w:tc>
        <w:tc>
          <w:tcPr>
            <w:tcW w:type="dxa" w:w="2160"/>
            <w:vAlign w:val="center"/>
          </w:tcPr>
          <w:p>
            <w:r/>
            <w:hyperlink r:id="rId13">
              <w:r>
                <w:rPr>
                  <w:rStyle w:val="Hyperlink"/>
                </w:rPr>
                <w:t xml:space="preserve">AUB</w:t>
              </w:r>
            </w:hyperlink>
          </w:p>
        </w:tc>
      </w:tr>
      <w:tr>
        <w:tc>
          <w:tcPr>
            <w:tcW w:type="dxa" w:w="2160"/>
            <w:vAlign w:val="center"/>
          </w:tcPr>
          <w:p>
            <w:r/>
            <w:r>
              <w:t>Texas A&amp;M University at Qatar</w:t>
            </w:r>
          </w:p>
        </w:tc>
        <w:tc>
          <w:tcPr>
            <w:tcW w:type="dxa" w:w="2160"/>
            <w:vAlign w:val="center"/>
          </w:tcPr>
          <w:p>
            <w:r/>
            <w:r>
              <w:t>قطر</w:t>
            </w:r>
          </w:p>
        </w:tc>
        <w:tc>
          <w:tcPr>
            <w:tcW w:type="dxa" w:w="2160"/>
            <w:vAlign w:val="center"/>
          </w:tcPr>
          <w:p>
            <w:r/>
            <w:r>
              <w:t>جامعة مضيفة لبرنامج الدراسة في قطر، من ربيع 2024</w:t>
            </w:r>
          </w:p>
        </w:tc>
        <w:tc>
          <w:tcPr>
            <w:tcW w:type="dxa" w:w="2160"/>
            <w:vAlign w:val="center"/>
          </w:tcPr>
          <w:p>
            <w:r/>
            <w:hyperlink r:id="rId13">
              <w:r>
                <w:rPr>
                  <w:rStyle w:val="Hyperlink"/>
                </w:rPr>
                <w:t xml:space="preserve">AUB</w:t>
              </w:r>
            </w:hyperlink>
          </w:p>
        </w:tc>
      </w:tr>
    </w:tbl>
    <w:p/>
    <w:p>
      <w:pPr>
        <w:pStyle w:val="Heading1"/>
      </w:pPr>
      <w:r>
        <w:t>المنافع</w:t>
      </w:r>
    </w:p>
    <w:p>
      <w:pPr>
        <w:pStyle w:val="Heading2"/>
      </w:pPr>
      <w:r>
        <w:t>الأقساط</w:t>
      </w:r>
    </w:p>
    <w:p>
      <w:pPr>
        <w:pStyle w:val="ListBullet"/>
      </w:pPr>
      <w:r/>
      <w:r>
        <w:rPr>
          <w:b/>
        </w:rPr>
        <w:t>الأقساط:</w:t>
      </w:r>
      <w:r>
        <w:t xml:space="preserve"> تغطية 100% من الأقساط الجامعية. </w:t>
      </w:r>
      <w:hyperlink r:id="rId18">
        <w:r>
          <w:rPr>
            <w:rStyle w:val="Hyperlink"/>
          </w:rPr>
          <w:t xml:space="preserve">AUB، الدفعة الأولى</w:t>
        </w:r>
      </w:hyperlink>
    </w:p>
    <w:p>
      <w:pPr>
        <w:pStyle w:val="ListBullet"/>
      </w:pPr>
      <w:r/>
      <w:r>
        <w:rPr>
          <w:b/>
        </w:rPr>
        <w:t>السكن / الإقامة:</w:t>
      </w:r>
      <w:r>
        <w:t xml:space="preserve"> غير متوفّر. لا يوثّق أي مصدر رسمي منفعة سكن.</w:t>
      </w:r>
    </w:p>
    <w:p>
      <w:pPr>
        <w:pStyle w:val="ListBullet"/>
      </w:pPr>
      <w:r/>
      <w:r>
        <w:rPr>
          <w:b/>
        </w:rPr>
        <w:t>المخصّص المعيشي:</w:t>
      </w:r>
      <w:r>
        <w:t xml:space="preserve"> غير متوفّر. لا يوثّق أي مصدر رسمي مخصّصاً معيشياً.</w:t>
      </w:r>
    </w:p>
    <w:p>
      <w:pPr>
        <w:pStyle w:val="ListBullet"/>
      </w:pPr>
      <w:r/>
      <w:r>
        <w:rPr>
          <w:b/>
        </w:rPr>
        <w:t>الكتب والمستلزمات:</w:t>
      </w:r>
      <w:r>
        <w:t xml:space="preserve"> غير متوفّر.</w:t>
      </w:r>
    </w:p>
    <w:p>
      <w:pPr>
        <w:pStyle w:val="ListBullet"/>
      </w:pPr>
      <w:r/>
      <w:r>
        <w:rPr>
          <w:b/>
        </w:rPr>
        <w:t>حاسوب محمول أو معدّات:</w:t>
      </w:r>
      <w:r>
        <w:t xml:space="preserve"> غير متوفّر.</w:t>
      </w:r>
    </w:p>
    <w:p>
      <w:pPr>
        <w:pStyle w:val="ListBullet"/>
      </w:pPr>
      <w:r/>
      <w:r>
        <w:rPr>
          <w:b/>
        </w:rPr>
        <w:t>التأمين الصحي:</w:t>
      </w:r>
      <w:r>
        <w:t xml:space="preserve"> غير متوفّر.</w:t>
      </w:r>
    </w:p>
    <w:p>
      <w:pPr>
        <w:pStyle w:val="ListBullet"/>
      </w:pPr>
      <w:r/>
      <w:r>
        <w:rPr>
          <w:b/>
        </w:rPr>
        <w:t>السفر:</w:t>
      </w:r>
      <w:r>
        <w:t xml:space="preserve"> غير متوفّر، باستثناء مكوّن الدراسة في قطر أدناه، الذي لم تُنشر تفاصيل تغطية كلفته.</w:t>
      </w:r>
    </w:p>
    <w:p>
      <w:r>
        <w:t>المصادر الرسمية توثّق الأقساط والبرامج المرافقة أدناه فقط. غياب منفعة السكن أو المخصّص المعيشي أو المعدّات هنا يعني أنها لم تُنشر — لا أنها استُثنيت صراحةً.</w:t>
      </w:r>
    </w:p>
    <w:p>
      <w:pPr>
        <w:pStyle w:val="Heading2"/>
      </w:pPr>
      <w:r>
        <w:t>البرامج المرافقة والدعم الطلابي</w:t>
      </w:r>
    </w:p>
    <w:p>
      <w:pPr>
        <w:pStyle w:val="ListBullet"/>
      </w:pPr>
      <w:r/>
      <w:r>
        <w:rPr>
          <w:b/>
        </w:rPr>
        <w:t>خدمات دعم طلابي</w:t>
      </w:r>
      <w:r>
        <w:t xml:space="preserve"> و</w:t>
      </w:r>
      <w:r>
        <w:rPr>
          <w:b/>
        </w:rPr>
        <w:t>فرص مشاركة مدنية</w:t>
      </w:r>
      <w:r>
        <w:t xml:space="preserve"> طوال فترة الدراسة. </w:t>
      </w:r>
      <w:hyperlink r:id="rId17">
        <w:r>
          <w:rPr>
            <w:rStyle w:val="Hyperlink"/>
          </w:rPr>
          <w:t xml:space="preserve">صفحة المشروع لدى EAA</w:t>
        </w:r>
      </w:hyperlink>
    </w:p>
    <w:p>
      <w:pPr>
        <w:pStyle w:val="ListBullet"/>
      </w:pPr>
      <w:r/>
      <w:r>
        <w:rPr>
          <w:b/>
        </w:rPr>
        <w:t>Qatar Connection:</w:t>
      </w:r>
      <w:r>
        <w:t xml:space="preserve"> منصّة EAA لربط المستفيدين محلياً ودولياً. </w:t>
      </w:r>
      <w:hyperlink r:id="rId18">
        <w:r>
          <w:rPr>
            <w:rStyle w:val="Hyperlink"/>
          </w:rPr>
          <w:t xml:space="preserve">AUB، الدفعة الأولى</w:t>
        </w:r>
      </w:hyperlink>
    </w:p>
    <w:p>
      <w:pPr>
        <w:pStyle w:val="ListBullet"/>
      </w:pPr>
      <w:r/>
      <w:r>
        <w:rPr>
          <w:b/>
        </w:rPr>
        <w:t>مشاريع خدمة مجتمعية مصمّمة خصيصاً</w:t>
      </w:r>
      <w:r>
        <w:t>، و</w:t>
      </w:r>
      <w:r>
        <w:rPr>
          <w:b/>
        </w:rPr>
        <w:t>مسابقات</w:t>
      </w:r>
      <w:r>
        <w:t>، و</w:t>
      </w:r>
      <w:r>
        <w:rPr>
          <w:b/>
        </w:rPr>
        <w:t>مؤتمرات دولية</w:t>
      </w:r>
      <w:r>
        <w:t xml:space="preserve">، وفعاليات اجتماعية. </w:t>
      </w:r>
      <w:hyperlink r:id="rId15">
        <w:r>
          <w:rPr>
            <w:rStyle w:val="Hyperlink"/>
          </w:rPr>
          <w:t xml:space="preserve">كتيّب البرنامج في AUB (PDF)</w:t>
        </w:r>
      </w:hyperlink>
    </w:p>
    <w:p>
      <w:pPr>
        <w:pStyle w:val="ListBullet"/>
      </w:pPr>
      <w:r/>
      <w:r>
        <w:rPr>
          <w:b/>
        </w:rPr>
        <w:t>ACE Talks:</w:t>
      </w:r>
      <w:r>
        <w:t xml:space="preserve"> مسابقة في الخطابة والكتابة والعرض والتفكير الإبداعي مفتوحة لطلاب البرنامج. </w:t>
      </w:r>
      <w:hyperlink r:id="rId16">
        <w:r>
          <w:rPr>
            <w:rStyle w:val="Hyperlink"/>
          </w:rPr>
          <w:t xml:space="preserve">بيان AUB الصحفي، حزيران 2024 (PDF)</w:t>
        </w:r>
      </w:hyperlink>
    </w:p>
    <w:p>
      <w:pPr>
        <w:pStyle w:val="ListBullet"/>
      </w:pPr>
      <w:r/>
      <w:r>
        <w:rPr>
          <w:b/>
        </w:rPr>
        <w:t>الإرشاد وورش العمل وفرص التدريب</w:t>
      </w:r>
      <w:r>
        <w:t xml:space="preserve">، بما في ذلك العمل مع مؤسسات ومنظمات تعليمية قطرية. </w:t>
      </w:r>
      <w:hyperlink r:id="rId14">
        <w:r>
          <w:rPr>
            <w:rStyle w:val="Hyperlink"/>
          </w:rPr>
          <w:t xml:space="preserve">إعلان AUB، آب 2021</w:t>
        </w:r>
      </w:hyperlink>
    </w:p>
    <w:p>
      <w:pPr>
        <w:pStyle w:val="ListBullet"/>
      </w:pPr>
      <w:r/>
      <w:r>
        <w:rPr>
          <w:b/>
        </w:rPr>
        <w:t>الجوائز:</w:t>
      </w:r>
      <w:r>
        <w:t xml:space="preserve"> كرّم البرنامج مستفيديه بجائزة أعلى معدّل تراكمي، وجائزة أعلى مشاركة في Qatar Connection، وجائزة خاصة للمشاركة المدنية. </w:t>
      </w:r>
      <w:hyperlink r:id="rId16">
        <w:r>
          <w:rPr>
            <w:rStyle w:val="Hyperlink"/>
          </w:rPr>
          <w:t xml:space="preserve">بيان AUB الصحفي، حزيران 2024 (PDF)</w:t>
        </w:r>
      </w:hyperlink>
    </w:p>
    <w:p>
      <w:pPr>
        <w:pStyle w:val="Heading2"/>
      </w:pPr>
      <w:r>
        <w:t>الدراسة في قطر</w:t>
      </w:r>
    </w:p>
    <w:p>
      <w:pPr>
        <w:pStyle w:val="ListBullet"/>
      </w:pPr>
      <w:r>
        <w:t xml:space="preserve">أُعلن عنه في تشرين الثاني 2023، بالشراكة مع مؤسسة قطر وEAA، وبدأ في فصل ربيع 2024. </w:t>
      </w:r>
      <w:hyperlink r:id="rId13">
        <w:r>
          <w:rPr>
            <w:rStyle w:val="Hyperlink"/>
          </w:rPr>
          <w:t xml:space="preserve">AUB</w:t>
        </w:r>
      </w:hyperlink>
    </w:p>
    <w:p>
      <w:pPr>
        <w:pStyle w:val="ListBullet"/>
      </w:pPr>
      <w:r/>
      <w:r>
        <w:rPr>
          <w:b/>
        </w:rPr>
        <w:t>الجامعات المضيفة:</w:t>
      </w:r>
      <w:r>
        <w:t xml:space="preserve"> Carnegie Mellon University in Qatar وTexas A&amp;M University at Qatar.</w:t>
      </w:r>
    </w:p>
    <w:p>
      <w:pPr>
        <w:pStyle w:val="ListBullet"/>
      </w:pPr>
      <w:r/>
      <w:r>
        <w:rPr>
          <w:b/>
        </w:rPr>
        <w:t>عدد المقاعد:</w:t>
      </w:r>
      <w:r>
        <w:t xml:space="preserve"> ستة مستفيدين في المجموعة الأولى، مع توقّع وصول العدد إلى 15 خلال السنتين التاليتين.</w:t>
      </w:r>
    </w:p>
    <w:p>
      <w:pPr>
        <w:pStyle w:val="ListBullet"/>
      </w:pPr>
      <w:r/>
      <w:r>
        <w:rPr>
          <w:b/>
        </w:rPr>
        <w:t>الاختيار:</w:t>
      </w:r>
      <w:r>
        <w:t xml:space="preserve"> متاح لطلاب AUB المدعومين من EAA الذين «تجاوزوا تحدّيات وعوائق للوصول إلى التعليم العالي وتفوّقوا في دراستهم»، مع مراعاة مجال الاختصاص والأداء الأكاديمي.</w:t>
      </w:r>
    </w:p>
    <w:p>
      <w:pPr>
        <w:pStyle w:val="ListBullet"/>
      </w:pPr>
      <w:r/>
      <w:r>
        <w:rPr>
          <w:b/>
        </w:rPr>
        <w:t>ما كان يغطّيه:</w:t>
      </w:r>
      <w:r>
        <w:t xml:space="preserve"> غير متوفّر. لم تُنشر ترتيبات السفر والسكن والأقساط للفصل الدراسي في الخارج.</w:t>
      </w:r>
    </w:p>
    <w:p/>
    <w:p>
      <w:pPr>
        <w:pStyle w:val="Heading1"/>
      </w:pPr>
      <w:r>
        <w:t>جهات التواصل</w:t>
      </w:r>
    </w:p>
    <w:p>
      <w:r>
        <w:t>المستفيدون السابقون الذين وافقوا على الإجابة عن الأسئلة: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r>
              <w:rPr>
                <w:b/>
              </w:rPr>
            </w:r>
            <w:r>
              <w:rPr>
                <w:b/>
              </w:rPr>
            </w:r>
            <w:r>
              <w:rPr>
                <w:b/>
              </w:rPr>
              <w:t>الاسم</w:t>
            </w:r>
            <w:r>
              <w:rPr>
                <w:b/>
              </w:rPr>
            </w:r>
          </w:p>
        </w:tc>
        <w:tc>
          <w:tcPr>
            <w:tcW w:type="dxa" w:w="2160"/>
            <w:vAlign w:val="center"/>
          </w:tcPr>
          <w:p>
            <w:r>
              <w:rPr>
                <w:b/>
              </w:rPr>
            </w:r>
            <w:r>
              <w:rPr>
                <w:b/>
              </w:rPr>
            </w:r>
            <w:r>
              <w:rPr>
                <w:b/>
              </w:rPr>
              <w:t>السنة</w:t>
            </w:r>
            <w:r>
              <w:rPr>
                <w:b/>
              </w:rPr>
            </w:r>
          </w:p>
        </w:tc>
        <w:tc>
          <w:tcPr>
            <w:tcW w:type="dxa" w:w="2160"/>
            <w:vAlign w:val="center"/>
          </w:tcPr>
          <w:p>
            <w:r>
              <w:rPr>
                <w:b/>
              </w:rPr>
            </w:r>
            <w:r>
              <w:rPr>
                <w:b/>
              </w:rPr>
            </w:r>
            <w:r>
              <w:rPr>
                <w:b/>
              </w:rPr>
              <w:t>الجامعة</w:t>
            </w:r>
            <w:r>
              <w:rPr>
                <w:b/>
              </w:rPr>
            </w:r>
          </w:p>
        </w:tc>
        <w:tc>
          <w:tcPr>
            <w:tcW w:type="dxa" w:w="2160"/>
            <w:vAlign w:val="center"/>
          </w:tcPr>
          <w:p>
            <w:r>
              <w:rPr>
                <w:b/>
              </w:rPr>
            </w:r>
            <w:r>
              <w:rPr>
                <w:b/>
              </w:rPr>
            </w:r>
            <w:r>
              <w:rPr>
                <w:b/>
              </w:rPr>
              <w:t>وسيلة التواصل</w:t>
            </w:r>
            <w:r>
              <w:rPr>
                <w:b/>
              </w:rPr>
            </w:r>
          </w:p>
        </w:tc>
      </w:tr>
      <w:tr>
        <w:tc>
          <w:tcPr>
            <w:tcW w:type="dxa" w:w="2160"/>
            <w:vAlign w:val="center"/>
          </w:tcPr>
          <w:p>
            <w:r/>
            <w:r>
              <w:t>TODO</w:t>
            </w:r>
          </w:p>
        </w:tc>
        <w:tc>
          <w:tcPr>
            <w:tcW w:type="dxa" w:w="2160"/>
            <w:vAlign w:val="center"/>
          </w:tcPr>
          <w:p>
            <w:r/>
            <w:r>
              <w:t>TODO</w:t>
            </w:r>
          </w:p>
        </w:tc>
        <w:tc>
          <w:tcPr>
            <w:tcW w:type="dxa" w:w="2160"/>
            <w:vAlign w:val="center"/>
          </w:tcPr>
          <w:p>
            <w:r/>
            <w:r>
              <w:t>TODO</w:t>
            </w:r>
          </w:p>
        </w:tc>
        <w:tc>
          <w:tcPr>
            <w:tcW w:type="dxa" w:w="2160"/>
            <w:vAlign w:val="center"/>
          </w:tcPr>
          <w:p>
            <w:r/>
            <w:r>
              <w:t>TODO</w:t>
            </w:r>
          </w:p>
        </w:tc>
      </w:tr>
    </w:tbl>
    <w:p>
      <w:r/>
      <w:r>
        <w:rPr>
          <w:b/>
        </w:rPr>
        <w:t>جهة التواصل الرسمية للبرنامج:</w:t>
      </w:r>
      <w:r>
        <w:t xml:space="preserve"> اختُتم البرنامج، لذا قد لا تكون هذه القنوات مُتابَعة. كما وردت في كتيّب البرنامج الصادر عن AUB:</w:t>
      </w:r>
    </w:p>
    <w:p>
      <w:pPr>
        <w:pStyle w:val="ListBullet"/>
      </w:pPr>
      <w:r/>
      <w:r>
        <w:rPr>
          <w:b/>
        </w:rPr>
        <w:t>البريد الإلكتروني:</w:t>
      </w:r>
      <w:r>
        <w:t xml:space="preserve"> qatar-eaa@aub.edu.lb</w:t>
      </w:r>
    </w:p>
    <w:p>
      <w:pPr>
        <w:pStyle w:val="ListBullet"/>
      </w:pPr>
      <w:r/>
      <w:r>
        <w:rPr>
          <w:b/>
        </w:rPr>
        <w:t>الهاتف:</w:t>
      </w:r>
      <w:r>
        <w:t xml:space="preserve"> +961 1 350000، مقسّم 3345</w:t>
      </w:r>
    </w:p>
    <w:p>
      <w:pPr>
        <w:pStyle w:val="ListBullet"/>
      </w:pPr>
      <w:r/>
      <w:r>
        <w:rPr>
          <w:b/>
        </w:rPr>
        <w:t>Facebook:</w:t>
      </w:r>
      <w:r>
        <w:t xml:space="preserve"> AUB Qatar Scholarship – EAA Program</w:t>
      </w:r>
    </w:p>
    <w:p>
      <w:pPr>
        <w:pStyle w:val="ListBullet"/>
      </w:pPr>
      <w:r/>
      <w:r>
        <w:rPr>
          <w:b/>
        </w:rPr>
        <w:t>Instagram:</w:t>
      </w:r>
      <w:r>
        <w:t xml:space="preserve"> AUB Qatar Scholarship – EAA</w:t>
      </w:r>
    </w:p>
    <w:p>
      <w:pPr>
        <w:pStyle w:val="ListBullet"/>
      </w:pPr>
      <w:r/>
      <w:r>
        <w:rPr>
          <w:b/>
        </w:rPr>
        <w:t>X (تويتر):</w:t>
      </w:r>
      <w:r>
        <w:t xml:space="preserve"> </w:t>
      </w:r>
      <w:hyperlink r:id="rId20">
        <w:r>
          <w:rPr>
            <w:rStyle w:val="Hyperlink"/>
          </w:rPr>
          <w:t xml:space="preserve">@aub_eaa</w:t>
        </w:r>
      </w:hyperlink>
    </w:p>
    <w:p>
      <w:pPr>
        <w:pStyle w:val="ListBullet"/>
      </w:pPr>
      <w:r/>
      <w:r>
        <w:rPr>
          <w:b/>
        </w:rPr>
        <w:t>صفحة البرنامج:</w:t>
      </w:r>
      <w:r>
        <w:t xml:space="preserve"> </w:t>
      </w:r>
      <w:hyperlink r:id="rId12">
        <w:r>
          <w:rPr>
            <w:rStyle w:val="Hyperlink"/>
          </w:rPr>
          <w:t xml:space="preserve">https://www.aub.edu.lb/eaa/Pages/default.aspx</w:t>
        </w:r>
      </w:hyperlink>
    </w:p>
    <w:p>
      <w:pPr>
        <w:pStyle w:val="ListBullet"/>
      </w:pPr>
      <w:r/>
      <w:r>
        <w:rPr>
          <w:b/>
        </w:rPr>
        <w:t>المصدر:</w:t>
      </w:r>
      <w:r>
        <w:t xml:space="preserve"> </w:t>
      </w:r>
      <w:hyperlink r:id="rId15">
        <w:r>
          <w:rPr>
            <w:rStyle w:val="Hyperlink"/>
          </w:rPr>
          <w:t xml:space="preserve">كتيّب البرنامج في AUB (PDF)</w:t>
        </w:r>
      </w:hyperlink>
    </w:p>
    <w:p>
      <w:r/>
      <w:r>
        <w:rPr>
          <w:b/>
        </w:rPr>
        <w:t>المستفيدون السابقون:</w:t>
      </w:r>
      <w:r>
        <w:t xml:space="preserve"> غير متوفّر — لا توجد قائمة منشورة بأسماء أو وسائل تواصل المستفيدين. يذكر بيان AUB الصحفي في حزيران 2024 أسماء عدد من الفائزين بالجوائز والمتأهّلين لنهائيات ACE Talks، لكنه لا ينشر أي وسيلة للتواصل معهم.</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555555"/>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ub.edu.lb/articles/Pages/Qatar-Scholarship%E2%80%93at-AUB-Celebrates-the-Graduation-of-93-Students.aspx" TargetMode="External"/><Relationship Id="rId10" Type="http://schemas.openxmlformats.org/officeDocument/2006/relationships/hyperlink" Target="https://thepeninsulaqatar.com/article/03/06/2025/eaa-american-university-of-beirut-celebrate-completion-of-qatar-scholarship-programme-with-graduation-of-93-students" TargetMode="External"/><Relationship Id="rId11" Type="http://schemas.openxmlformats.org/officeDocument/2006/relationships/hyperlink" Target="https://www.educationaboveall.org" TargetMode="External"/><Relationship Id="rId12" Type="http://schemas.openxmlformats.org/officeDocument/2006/relationships/hyperlink" Target="https://www.aub.edu.lb/eaa/Pages/default.aspx" TargetMode="External"/><Relationship Id="rId13" Type="http://schemas.openxmlformats.org/officeDocument/2006/relationships/hyperlink" Target="https://www.aub.edu.lb/articles/Pages/Qatar-Foundation-and-Education-partner-with-AUB-to-offer-students-chance-study-abroad-in-Qatar.aspx" TargetMode="External"/><Relationship Id="rId14" Type="http://schemas.openxmlformats.org/officeDocument/2006/relationships/hyperlink" Target="https://aub.edu.lb/articles/Pages/QatarScholarship.aspx" TargetMode="External"/><Relationship Id="rId15" Type="http://schemas.openxmlformats.org/officeDocument/2006/relationships/hyperlink" Target="https://aub.edu.lb/eaa/Documents/EAA%20program%20at%20AUB.pdf" TargetMode="External"/><Relationship Id="rId16" Type="http://schemas.openxmlformats.org/officeDocument/2006/relationships/hyperlink" Target="https://www.aub.edu.lb/communications/media/Documents/June-24/Qatar%20Scholarship-HM-SAM-CA-en.pdf" TargetMode="External"/><Relationship Id="rId17" Type="http://schemas.openxmlformats.org/officeDocument/2006/relationships/hyperlink" Target="https://www.educationaboveall.org/our-work/our-projects/qatar-scholarship-eaaamerican-university-beirut" TargetMode="External"/><Relationship Id="rId18" Type="http://schemas.openxmlformats.org/officeDocument/2006/relationships/hyperlink" Target="https://www.aub.edu.lb/articles/Pages/Qatar_Scholarship_at_AUB_celebrates_its_first_cohort_of_students.aspx" TargetMode="External"/><Relationship Id="rId19" Type="http://schemas.openxmlformats.org/officeDocument/2006/relationships/hyperlink" Target="https://www.nna-leb.gov.lb/en/education/623595/the-qatar-scholarship-education-above-all-program" TargetMode="External"/><Relationship Id="rId20" Type="http://schemas.openxmlformats.org/officeDocument/2006/relationships/hyperlink" Target="https://x.com/aub_e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