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Qatar Scholarship – Education Above All Program at AUB</w:t>
      </w:r>
    </w:p>
    <w:p>
      <w:pPr>
        <w:pStyle w:val="Subtitle"/>
      </w:pPr>
      <w:r>
        <w:rPr>
          <w:i/>
          <w:sz w:val="20"/>
        </w:rPr>
        <w:t>Edit this document in Drive — the site rebuilds from it. Slug: qatar-scholarship-aub.  Locale: en.  Last (re)generated: 2026-08-11.</w:t>
      </w:r>
    </w:p>
    <w:p>
      <w:pPr>
        <w:pStyle w:val="Heading1"/>
      </w:pPr>
      <w:r>
        <w:t>Metadata</w:t>
      </w:r>
    </w:p>
    <w:tbl>
      <w:tblPr>
        <w:tblStyle w:val="LightList-Accent5"/>
        <w:tblW w:type="auto" w:w="0"/>
        <w:tblLook w:firstColumn="1" w:firstRow="1" w:lastColumn="0" w:lastRow="0" w:noHBand="0" w:noVBand="1" w:val="04A0"/>
      </w:tblPr>
      <w:tblGrid>
        <w:gridCol w:w="4320"/>
        <w:gridCol w:w="4320"/>
      </w:tblGrid>
      <w:tr>
        <w:tc>
          <w:tcPr>
            <w:tcW w:type="dxa" w:w="4320"/>
          </w:tcPr>
          <w:p>
            <w:r>
              <w:rPr>
                <w:b/>
              </w:rPr>
              <w:t>Key</w:t>
            </w:r>
          </w:p>
        </w:tc>
        <w:tc>
          <w:tcPr>
            <w:tcW w:type="dxa" w:w="4320"/>
          </w:tcPr>
          <w:p>
            <w:r>
              <w:rPr>
                <w:b/>
              </w:rPr>
              <w:t>Value</w:t>
            </w:r>
          </w:p>
        </w:tc>
      </w:tr>
      <w:tr>
        <w:tc>
          <w:tcPr>
            <w:tcW w:type="dxa" w:w="4320"/>
          </w:tcPr>
          <w:p>
            <w:r/>
            <w:r>
              <w:rPr>
                <w:b/>
              </w:rPr>
              <w:t>title</w:t>
            </w:r>
          </w:p>
        </w:tc>
        <w:tc>
          <w:tcPr>
            <w:tcW w:type="dxa" w:w="4320"/>
          </w:tcPr>
          <w:p>
            <w:r>
              <w:t>Qatar Scholarship – Education Above All Program at AUB</w:t>
            </w:r>
          </w:p>
        </w:tc>
      </w:tr>
      <w:tr>
        <w:tc>
          <w:tcPr>
            <w:tcW w:type="dxa" w:w="4320"/>
          </w:tcPr>
          <w:p>
            <w:r/>
            <w:r>
              <w:rPr>
                <w:b/>
              </w:rPr>
              <w:t>sidebar_label</w:t>
            </w:r>
          </w:p>
        </w:tc>
        <w:tc>
          <w:tcPr>
            <w:tcW w:type="dxa" w:w="4320"/>
          </w:tcPr>
          <w:p>
            <w:r>
              <w:t>Qatar Scholarship (AUB)</w:t>
            </w:r>
          </w:p>
        </w:tc>
      </w:tr>
      <w:tr>
        <w:tc>
          <w:tcPr>
            <w:tcW w:type="dxa" w:w="4320"/>
          </w:tcPr>
          <w:p>
            <w:r/>
            <w:r>
              <w:rPr>
                <w:b/>
              </w:rPr>
              <w:t>sidebar_position</w:t>
            </w:r>
          </w:p>
        </w:tc>
        <w:tc>
          <w:tcPr>
            <w:tcW w:type="dxa" w:w="4320"/>
          </w:tcPr>
          <w:p>
            <w:r>
              <w:t>11</w:t>
            </w:r>
          </w:p>
        </w:tc>
      </w:tr>
    </w:tbl>
    <w:p/>
    <w:p>
      <w:pPr>
        <w:pStyle w:val="Heading1"/>
      </w:pPr>
      <w:r>
        <w:t>Overview</w:t>
      </w:r>
    </w:p>
    <w:p>
      <w:r/>
      <w:r>
        <w:rPr>
          <w:b/>
        </w:rPr>
        <w:t>This programme has ended and is not accepting new applicants.</w:t>
      </w:r>
      <w:r>
        <w:t xml:space="preserve"> It ran from August 2021 to June 2025. The final cohort graduated in June 2025, and Education Above All describes the programme as having concluded "having met its targets and delivered lasting impact." Source: </w:t>
      </w:r>
      <w:hyperlink r:id="rId9">
        <w:r>
          <w:rPr>
            <w:rStyle w:val="Hyperlink"/>
          </w:rPr>
          <w:t xml:space="preserve">AUB — graduation of the final 93 students</w:t>
        </w:r>
      </w:hyperlink>
      <w:r>
        <w:t xml:space="preserve"> and </w:t>
      </w:r>
      <w:hyperlink r:id="rId10">
        <w:r>
          <w:rPr>
            <w:rStyle w:val="Hyperlink"/>
          </w:rPr>
          <w:t xml:space="preserve">The Peninsula, June 2025</w:t>
        </w:r>
      </w:hyperlink>
      <w:r>
        <w:t>. This page is kept as a record of what the programme offered.</w:t>
      </w:r>
    </w:p>
    <w:p>
      <w:pPr>
        <w:pStyle w:val="ListBullet"/>
      </w:pPr>
      <w:r/>
      <w:r>
        <w:rPr>
          <w:b/>
        </w:rPr>
        <w:t>Provider:</w:t>
      </w:r>
      <w:r>
        <w:t xml:space="preserve"> Education Above All Foundation (EAA), through its Al Fakhoora programme, funded by Qatar Fund for Development (QFFD). </w:t>
      </w:r>
      <w:hyperlink r:id="rId11">
        <w:r>
          <w:rPr>
            <w:rStyle w:val="Hyperlink"/>
          </w:rPr>
          <w:t xml:space="preserve">https://www.educationaboveall.org</w:t>
        </w:r>
      </w:hyperlink>
    </w:p>
    <w:p>
      <w:pPr>
        <w:pStyle w:val="ListBullet"/>
      </w:pPr>
      <w:r/>
      <w:r>
        <w:rPr>
          <w:b/>
        </w:rPr>
        <w:t>Host university:</w:t>
      </w:r>
      <w:r>
        <w:t xml:space="preserve"> American University of Beirut, delivered through AUB's Leadership, Equity, and Diversity (LEAD) initiative. </w:t>
      </w:r>
      <w:hyperlink r:id="rId12">
        <w:r>
          <w:rPr>
            <w:rStyle w:val="Hyperlink"/>
          </w:rPr>
          <w:t xml:space="preserve">AUB EAA programme page</w:t>
        </w:r>
      </w:hyperlink>
    </w:p>
    <w:p>
      <w:pPr>
        <w:pStyle w:val="ListBullet"/>
      </w:pPr>
      <w:r/>
      <w:r>
        <w:rPr>
          <w:b/>
        </w:rPr>
        <w:t>Additional partner:</w:t>
      </w:r>
      <w:r>
        <w:t xml:space="preserve"> Qatar Foundation, which joined for the Study Abroad in Qatar component. </w:t>
      </w:r>
      <w:hyperlink r:id="rId13">
        <w:r>
          <w:rPr>
            <w:rStyle w:val="Hyperlink"/>
          </w:rPr>
          <w:t xml:space="preserve">AUB — study abroad in Qatar</w:t>
        </w:r>
      </w:hyperlink>
    </w:p>
    <w:p>
      <w:pPr>
        <w:pStyle w:val="ListBullet"/>
      </w:pPr>
      <w:r/>
      <w:r>
        <w:rPr>
          <w:b/>
        </w:rPr>
        <w:t>Type:</w:t>
      </w:r>
      <w:r>
        <w:t xml:space="preserve"> Foreign-funded foundation scholarship, tied to a single university.</w:t>
      </w:r>
    </w:p>
    <w:p>
      <w:pPr>
        <w:pStyle w:val="ListBullet"/>
      </w:pPr>
      <w:r/>
      <w:r>
        <w:rPr>
          <w:b/>
        </w:rPr>
        <w:t>Description:</w:t>
      </w:r>
      <w:r>
        <w:t xml:space="preserve"> A four-year programme to fund undergraduate degrees at AUB for marginalised Lebanese, Palestinian, and Syrian students in Lebanon, combining full tuition coverage with student support services, civic engagement, and local and international networking. The partnership was announced in August 2021 as a five-year memorandum of understanding with a four-year scholarship delivery period, signed with Lebanon's Ministry of Education and Higher Education present. </w:t>
      </w:r>
      <w:hyperlink r:id="rId14">
        <w:r>
          <w:rPr>
            <w:rStyle w:val="Hyperlink"/>
          </w:rPr>
          <w:t xml:space="preserve">AUB announcement, August 2021</w:t>
        </w:r>
      </w:hyperlink>
    </w:p>
    <w:p>
      <w:pPr>
        <w:pStyle w:val="ListBullet"/>
      </w:pPr>
      <w:r/>
      <w:r>
        <w:rPr>
          <w:b/>
        </w:rPr>
        <w:t>Programme motto:</w:t>
      </w:r>
      <w:r>
        <w:t xml:space="preserve"> A.C.E — Access to quality education, Connect locally and internationally, Engage in meaningful opportunities. </w:t>
      </w:r>
      <w:hyperlink r:id="rId15">
        <w:r>
          <w:rPr>
            <w:rStyle w:val="Hyperlink"/>
          </w:rPr>
          <w:t xml:space="preserve">AUB EAA brochure (PDF)</w:t>
        </w:r>
      </w:hyperlink>
    </w:p>
    <w:p>
      <w:pPr>
        <w:pStyle w:val="ListBullet"/>
      </w:pPr>
      <w:r/>
      <w:r>
        <w:rPr>
          <w:b/>
        </w:rPr>
        <w:t>Programme director at AUB:</w:t>
      </w:r>
      <w:r>
        <w:t xml:space="preserve"> Professor Joseph Costantine. </w:t>
      </w:r>
      <w:hyperlink r:id="rId16">
        <w:r>
          <w:rPr>
            <w:rStyle w:val="Hyperlink"/>
          </w:rPr>
          <w:t xml:space="preserve">AUB press release, June 2024 (PDF)</w:t>
        </w:r>
      </w:hyperlink>
    </w:p>
    <w:p>
      <w:r/>
      <w:r>
        <w:rPr>
          <w:b/>
        </w:rPr>
        <w:t>Scale.</w:t>
      </w:r>
      <w:r>
        <w:t xml:space="preserve"> The stated target was 400 undergraduate scholarships, allocated 78% to marginalised Lebanese nationals and 22% to Syrian and Palestinian refugees. </w:t>
      </w:r>
      <w:hyperlink r:id="rId17">
        <w:r>
          <w:rPr>
            <w:rStyle w:val="Hyperlink"/>
          </w:rPr>
          <w:t xml:space="preserve">EAA project page</w:t>
        </w:r>
      </w:hyperlink>
      <w:r>
        <w:t xml:space="preserve">. At the close of the programme, AUB reported 316 students supported in total. </w:t>
      </w:r>
      <w:hyperlink r:id="rId9">
        <w:r>
          <w:rPr>
            <w:rStyle w:val="Hyperlink"/>
          </w:rPr>
          <w:t xml:space="preserve">AUB, June 2025</w:t>
        </w:r>
      </w:hyperlink>
      <w:r>
        <w:t>. The two figures come from different sources and are reported here as published.</w:t>
      </w:r>
    </w:p>
    <w:p>
      <w:r/>
      <w:r>
        <w:rPr>
          <w:b/>
        </w:rPr>
        <w:t>Documented milestones</w:t>
      </w:r>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r>
            <w:r>
              <w:rPr>
                <w:b/>
              </w:rPr>
            </w:r>
            <w:r>
              <w:rPr>
                <w:b/>
              </w:rPr>
              <w:t>Date</w:t>
            </w:r>
            <w:r>
              <w:rPr>
                <w:b/>
              </w:rPr>
            </w:r>
          </w:p>
        </w:tc>
        <w:tc>
          <w:tcPr>
            <w:tcW w:type="dxa" w:w="2880"/>
            <w:vAlign w:val="center"/>
          </w:tcPr>
          <w:p>
            <w:r>
              <w:rPr>
                <w:b/>
              </w:rPr>
            </w:r>
            <w:r>
              <w:rPr>
                <w:b/>
              </w:rPr>
            </w:r>
            <w:r>
              <w:rPr>
                <w:b/>
              </w:rPr>
              <w:t>Milestone</w:t>
            </w:r>
            <w:r>
              <w:rPr>
                <w:b/>
              </w:rPr>
            </w:r>
          </w:p>
        </w:tc>
        <w:tc>
          <w:tcPr>
            <w:tcW w:type="dxa" w:w="2880"/>
            <w:vAlign w:val="center"/>
          </w:tcPr>
          <w:p>
            <w:r>
              <w:rPr>
                <w:b/>
              </w:rPr>
            </w:r>
            <w:r>
              <w:rPr>
                <w:b/>
              </w:rPr>
            </w:r>
            <w:r>
              <w:rPr>
                <w:b/>
              </w:rPr>
              <w:t>Source</w:t>
            </w:r>
            <w:r>
              <w:rPr>
                <w:b/>
              </w:rPr>
            </w:r>
          </w:p>
        </w:tc>
      </w:tr>
      <w:tr>
        <w:tc>
          <w:tcPr>
            <w:tcW w:type="dxa" w:w="2880"/>
            <w:vAlign w:val="center"/>
          </w:tcPr>
          <w:p>
            <w:r/>
            <w:r>
              <w:t>August 2021</w:t>
            </w:r>
          </w:p>
        </w:tc>
        <w:tc>
          <w:tcPr>
            <w:tcW w:type="dxa" w:w="2880"/>
            <w:vAlign w:val="center"/>
          </w:tcPr>
          <w:p>
            <w:r/>
            <w:r>
              <w:t>Partnership announced; programme begins</w:t>
            </w:r>
          </w:p>
        </w:tc>
        <w:tc>
          <w:tcPr>
            <w:tcW w:type="dxa" w:w="2880"/>
            <w:vAlign w:val="center"/>
          </w:tcPr>
          <w:p>
            <w:r/>
            <w:hyperlink r:id="rId14">
              <w:r>
                <w:rPr>
                  <w:rStyle w:val="Hyperlink"/>
                </w:rPr>
                <w:t xml:space="preserve">AUB</w:t>
              </w:r>
            </w:hyperlink>
          </w:p>
        </w:tc>
      </w:tr>
      <w:tr>
        <w:tc>
          <w:tcPr>
            <w:tcW w:type="dxa" w:w="2880"/>
            <w:vAlign w:val="center"/>
          </w:tcPr>
          <w:p>
            <w:r/>
            <w:r>
              <w:t>February 2022</w:t>
            </w:r>
          </w:p>
        </w:tc>
        <w:tc>
          <w:tcPr>
            <w:tcW w:type="dxa" w:w="2880"/>
            <w:vAlign w:val="center"/>
          </w:tcPr>
          <w:p>
            <w:r/>
            <w:r>
              <w:t>First cohort of 120 awardees celebrated</w:t>
            </w:r>
          </w:p>
        </w:tc>
        <w:tc>
          <w:tcPr>
            <w:tcW w:type="dxa" w:w="2880"/>
            <w:vAlign w:val="center"/>
          </w:tcPr>
          <w:p>
            <w:r/>
            <w:hyperlink r:id="rId18">
              <w:r>
                <w:rPr>
                  <w:rStyle w:val="Hyperlink"/>
                </w:rPr>
                <w:t xml:space="preserve">AUB</w:t>
              </w:r>
            </w:hyperlink>
          </w:p>
        </w:tc>
      </w:tr>
      <w:tr>
        <w:tc>
          <w:tcPr>
            <w:tcW w:type="dxa" w:w="2880"/>
            <w:vAlign w:val="center"/>
          </w:tcPr>
          <w:p>
            <w:r/>
            <w:r>
              <w:t>Date not available</w:t>
            </w:r>
          </w:p>
        </w:tc>
        <w:tc>
          <w:tcPr>
            <w:tcW w:type="dxa" w:w="2880"/>
            <w:vAlign w:val="center"/>
          </w:tcPr>
          <w:p>
            <w:r/>
            <w:r>
              <w:t>62 students graduate</w:t>
            </w:r>
          </w:p>
        </w:tc>
        <w:tc>
          <w:tcPr>
            <w:tcW w:type="dxa" w:w="2880"/>
            <w:vAlign w:val="center"/>
          </w:tcPr>
          <w:p>
            <w:r/>
            <w:hyperlink r:id="rId19">
              <w:r>
                <w:rPr>
                  <w:rStyle w:val="Hyperlink"/>
                </w:rPr>
                <w:t xml:space="preserve">National News Agency</w:t>
              </w:r>
            </w:hyperlink>
          </w:p>
        </w:tc>
      </w:tr>
      <w:tr>
        <w:tc>
          <w:tcPr>
            <w:tcW w:type="dxa" w:w="2880"/>
            <w:vAlign w:val="center"/>
          </w:tcPr>
          <w:p>
            <w:r/>
            <w:r>
              <w:t>November 2023</w:t>
            </w:r>
          </w:p>
        </w:tc>
        <w:tc>
          <w:tcPr>
            <w:tcW w:type="dxa" w:w="2880"/>
            <w:vAlign w:val="center"/>
          </w:tcPr>
          <w:p>
            <w:r/>
            <w:r>
              <w:t>Study Abroad in Qatar component announced</w:t>
            </w:r>
          </w:p>
        </w:tc>
        <w:tc>
          <w:tcPr>
            <w:tcW w:type="dxa" w:w="2880"/>
            <w:vAlign w:val="center"/>
          </w:tcPr>
          <w:p>
            <w:r/>
            <w:hyperlink r:id="rId13">
              <w:r>
                <w:rPr>
                  <w:rStyle w:val="Hyperlink"/>
                </w:rPr>
                <w:t xml:space="preserve">AUB</w:t>
              </w:r>
            </w:hyperlink>
          </w:p>
        </w:tc>
      </w:tr>
      <w:tr>
        <w:tc>
          <w:tcPr>
            <w:tcW w:type="dxa" w:w="2880"/>
            <w:vAlign w:val="center"/>
          </w:tcPr>
          <w:p>
            <w:r/>
            <w:r>
              <w:t>June 2024</w:t>
            </w:r>
          </w:p>
        </w:tc>
        <w:tc>
          <w:tcPr>
            <w:tcW w:type="dxa" w:w="2880"/>
            <w:vAlign w:val="center"/>
          </w:tcPr>
          <w:p>
            <w:r/>
            <w:r>
              <w:t>120 students graduate</w:t>
            </w:r>
          </w:p>
        </w:tc>
        <w:tc>
          <w:tcPr>
            <w:tcW w:type="dxa" w:w="2880"/>
            <w:vAlign w:val="center"/>
          </w:tcPr>
          <w:p>
            <w:r/>
            <w:hyperlink r:id="rId16">
              <w:r>
                <w:rPr>
                  <w:rStyle w:val="Hyperlink"/>
                </w:rPr>
                <w:t xml:space="preserve">AUB press release (PDF)</w:t>
              </w:r>
            </w:hyperlink>
          </w:p>
        </w:tc>
      </w:tr>
      <w:tr>
        <w:tc>
          <w:tcPr>
            <w:tcW w:type="dxa" w:w="2880"/>
            <w:vAlign w:val="center"/>
          </w:tcPr>
          <w:p>
            <w:r/>
            <w:r>
              <w:t>June 2025</w:t>
            </w:r>
          </w:p>
        </w:tc>
        <w:tc>
          <w:tcPr>
            <w:tcW w:type="dxa" w:w="2880"/>
            <w:vAlign w:val="center"/>
          </w:tcPr>
          <w:p>
            <w:r/>
            <w:r>
              <w:t>Final cohort of 93 graduates; programme concludes</w:t>
            </w:r>
          </w:p>
        </w:tc>
        <w:tc>
          <w:tcPr>
            <w:tcW w:type="dxa" w:w="2880"/>
            <w:vAlign w:val="center"/>
          </w:tcPr>
          <w:p>
            <w:r/>
            <w:hyperlink r:id="rId9">
              <w:r>
                <w:rPr>
                  <w:rStyle w:val="Hyperlink"/>
                </w:rPr>
                <w:t xml:space="preserve">AUB</w:t>
              </w:r>
            </w:hyperlink>
          </w:p>
        </w:tc>
      </w:tr>
    </w:tbl>
    <w:p>
      <w:r/>
      <w:r>
        <w:rPr>
          <w:b/>
        </w:rPr>
        <w:t>Note on the official listings.</w:t>
      </w:r>
      <w:r>
        <w:t xml:space="preserve"> EAA's project page still shows the project status as "Active." Both AUB and EAA's own June 2025 announcements describe the programme as complete, so the status field appears to be out of date. If you are researching this programme, treat the June 2025 announcements as current.</w:t>
      </w:r>
    </w:p>
    <w:p/>
    <w:p>
      <w:pPr>
        <w:pStyle w:val="Heading1"/>
      </w:pPr>
      <w:r>
        <w:t>Grade &amp; background requirements</w:t>
      </w:r>
    </w:p>
    <w:p>
      <w:r>
        <w:t xml:space="preserve">These are the selection criteria as published in AUB's official programme brochure. They applied while the programme was recruiting; no intake has been open since the final cohort graduated. Source: </w:t>
      </w:r>
      <w:hyperlink r:id="rId15">
        <w:r>
          <w:rPr>
            <w:rStyle w:val="Hyperlink"/>
          </w:rPr>
          <w:t xml:space="preserve">AUB EAA brochure (PDF)</w:t>
        </w:r>
      </w:hyperlink>
      <w:r>
        <w:t>.</w:t>
      </w:r>
    </w:p>
    <w:p>
      <w:pPr>
        <w:pStyle w:val="ListBullet"/>
      </w:pPr>
      <w:r/>
      <w:r>
        <w:rPr>
          <w:b/>
        </w:rPr>
        <w:t>Academic level:</w:t>
      </w:r>
      <w:r>
        <w:t xml:space="preserve"> Undergraduate students already enrolled at AUB. This was not an admissions scholarship for incoming students.</w:t>
      </w:r>
    </w:p>
    <w:p>
      <w:pPr>
        <w:pStyle w:val="ListBullet"/>
      </w:pPr>
      <w:r/>
      <w:r>
        <w:rPr>
          <w:b/>
        </w:rPr>
        <w:t>Nationality:</w:t>
      </w:r>
      <w:r>
        <w:t xml:space="preserve"> Lebanese, Palestinian, or Syrian.</w:t>
      </w:r>
    </w:p>
    <w:p>
      <w:pPr>
        <w:pStyle w:val="ListBullet"/>
      </w:pPr>
      <w:r/>
      <w:r>
        <w:rPr>
          <w:b/>
        </w:rPr>
        <w:t>Existing scholarship status:</w:t>
      </w:r>
      <w:r>
        <w:t xml:space="preserve"> Applicants had to already hold another scholarship, and already be benefitting from full tuition coverage. In practice the programme took over funding for students AUB had already selected for aid rather than running an open public competition.</w:t>
      </w:r>
    </w:p>
    <w:p>
      <w:pPr>
        <w:pStyle w:val="ListBullet"/>
      </w:pPr>
      <w:r/>
      <w:r>
        <w:rPr>
          <w:b/>
        </w:rPr>
        <w:t>GPA:</w:t>
      </w:r>
      <w:r>
        <w:t xml:space="preserve"> Above 2.8 out of 4.</w:t>
      </w:r>
    </w:p>
    <w:p>
      <w:pPr>
        <w:pStyle w:val="ListBullet"/>
      </w:pPr>
      <w:r/>
      <w:r>
        <w:rPr>
          <w:b/>
        </w:rPr>
        <w:t>Expected graduation:</w:t>
      </w:r>
      <w:r>
        <w:t xml:space="preserve"> Students had to be graduating by Spring 2024–2025 at the latest, which bounded the programme to its four-year delivery window.</w:t>
      </w:r>
    </w:p>
    <w:p>
      <w:pPr>
        <w:pStyle w:val="ListBullet"/>
      </w:pPr>
      <w:r/>
      <w:r>
        <w:rPr>
          <w:b/>
        </w:rPr>
        <w:t>Financial need:</w:t>
      </w:r>
      <w:r>
        <w:t xml:space="preserve"> Required. AUB describes recipients as "deserving eligible" and financially eligible students from marginalised and vulnerable communities, selected in part for "alignment with the scholarship's ethos and objectives as evident by their previous selection for scholarship programs at the university." </w:t>
      </w:r>
      <w:hyperlink r:id="rId18">
        <w:r>
          <w:rPr>
            <w:rStyle w:val="Hyperlink"/>
          </w:rPr>
          <w:t xml:space="preserve">AUB, first cohort</w:t>
        </w:r>
      </w:hyperlink>
    </w:p>
    <w:p>
      <w:pPr>
        <w:pStyle w:val="ListBullet"/>
      </w:pPr>
      <w:r/>
      <w:r>
        <w:rPr>
          <w:b/>
        </w:rPr>
        <w:t>Secondary-school / Baccalaureate average:</w:t>
      </w:r>
      <w:r>
        <w:t xml:space="preserve"> Not available. No entry average was published; the 2.8/4 figure is a university GPA for students already enrolled.</w:t>
      </w:r>
    </w:p>
    <w:p>
      <w:pPr>
        <w:pStyle w:val="ListBullet"/>
      </w:pPr>
      <w:r/>
      <w:r>
        <w:rPr>
          <w:b/>
        </w:rPr>
        <w:t>Age limits:</w:t>
      </w:r>
      <w:r>
        <w:t xml:space="preserve"> Not available.</w:t>
      </w:r>
    </w:p>
    <w:p>
      <w:pPr>
        <w:pStyle w:val="ListBullet"/>
      </w:pPr>
      <w:r/>
      <w:r>
        <w:rPr>
          <w:b/>
        </w:rPr>
        <w:t>Eligible faculties and majors:</w:t>
      </w:r>
      <w:r>
        <w:t xml:space="preserve"> Not available as a published list. AUB describes graduating cohorts as "spanning various majors and specialties." </w:t>
      </w:r>
      <w:hyperlink r:id="rId16">
        <w:r>
          <w:rPr>
            <w:rStyle w:val="Hyperlink"/>
          </w:rPr>
          <w:t xml:space="preserve">AUB press release, June 2024 (PDF)</w:t>
        </w:r>
      </w:hyperlink>
    </w:p>
    <w:p/>
    <w:p>
      <w:pPr>
        <w:pStyle w:val="Heading1"/>
      </w:pPr>
      <w:r>
        <w:t>Application window</w:t>
      </w:r>
    </w:p>
    <w:p>
      <w:r/>
      <w:r>
        <w:rPr>
          <w:b/>
        </w:rPr>
        <w:t>There is no open application window.</w:t>
      </w:r>
      <w:r>
        <w:t xml:space="preserve"> The programme concluded in June 2025 and is not recruiting. </w:t>
      </w:r>
      <w:hyperlink r:id="rId9">
        <w:r>
          <w:rPr>
            <w:rStyle w:val="Hyperlink"/>
          </w:rPr>
          <w:t xml:space="preserve">AUB, June 2025</w:t>
        </w:r>
      </w:hyperlink>
    </w:p>
    <w:p>
      <w:r>
        <w:t>No public application portal, deadline, or document checklist for this programme was ever published on AUB's or EAA's websites. The brochure's criteria indicate recipients were identified from among AUB students already receiving financial aid rather than through an open call, which is consistent with the absence of a public process.</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r>
            <w:r>
              <w:rPr>
                <w:b/>
              </w:rPr>
            </w:r>
            <w:r>
              <w:rPr>
                <w:b/>
              </w:rPr>
              <w:t>Stage</w:t>
            </w:r>
            <w:r>
              <w:rPr>
                <w:b/>
              </w:rPr>
            </w:r>
          </w:p>
        </w:tc>
        <w:tc>
          <w:tcPr>
            <w:tcW w:type="dxa" w:w="2880"/>
            <w:vAlign w:val="center"/>
          </w:tcPr>
          <w:p>
            <w:r>
              <w:rPr>
                <w:b/>
              </w:rPr>
            </w:r>
            <w:r>
              <w:rPr>
                <w:b/>
              </w:rPr>
            </w:r>
            <w:r>
              <w:rPr>
                <w:b/>
              </w:rPr>
              <w:t>Date</w:t>
            </w:r>
            <w:r>
              <w:rPr>
                <w:b/>
              </w:rPr>
            </w:r>
          </w:p>
        </w:tc>
        <w:tc>
          <w:tcPr>
            <w:tcW w:type="dxa" w:w="2880"/>
            <w:vAlign w:val="center"/>
          </w:tcPr>
          <w:p>
            <w:r>
              <w:rPr>
                <w:b/>
              </w:rPr>
            </w:r>
            <w:r>
              <w:rPr>
                <w:b/>
              </w:rPr>
            </w:r>
            <w:r>
              <w:rPr>
                <w:b/>
              </w:rPr>
              <w:t>Reference</w:t>
            </w:r>
            <w:r>
              <w:rPr>
                <w:b/>
              </w:rPr>
            </w:r>
          </w:p>
        </w:tc>
      </w:tr>
      <w:tr>
        <w:tc>
          <w:tcPr>
            <w:tcW w:type="dxa" w:w="2880"/>
            <w:vAlign w:val="center"/>
          </w:tcPr>
          <w:p>
            <w:r/>
            <w:r>
              <w:t>Applications open</w:t>
            </w:r>
          </w:p>
        </w:tc>
        <w:tc>
          <w:tcPr>
            <w:tcW w:type="dxa" w:w="2880"/>
            <w:vAlign w:val="center"/>
          </w:tcPr>
          <w:p>
            <w:r/>
            <w:r>
              <w:t>Not available — no public intake documented</w:t>
            </w:r>
          </w:p>
        </w:tc>
        <w:tc>
          <w:tcPr>
            <w:tcW w:type="dxa" w:w="2880"/>
            <w:vAlign w:val="center"/>
          </w:tcPr>
          <w:p>
            <w:r/>
            <w:hyperlink r:id="rId12">
              <w:r>
                <w:rPr>
                  <w:rStyle w:val="Hyperlink"/>
                </w:rPr>
                <w:t xml:space="preserve">AUB EAA programme page</w:t>
              </w:r>
            </w:hyperlink>
          </w:p>
        </w:tc>
      </w:tr>
      <w:tr>
        <w:tc>
          <w:tcPr>
            <w:tcW w:type="dxa" w:w="2880"/>
            <w:vAlign w:val="center"/>
          </w:tcPr>
          <w:p>
            <w:r/>
            <w:r>
              <w:t>Applications close</w:t>
            </w:r>
          </w:p>
        </w:tc>
        <w:tc>
          <w:tcPr>
            <w:tcW w:type="dxa" w:w="2880"/>
            <w:vAlign w:val="center"/>
          </w:tcPr>
          <w:p>
            <w:r/>
            <w:r>
              <w:t>Not available — no public intake documented</w:t>
            </w:r>
          </w:p>
        </w:tc>
        <w:tc>
          <w:tcPr>
            <w:tcW w:type="dxa" w:w="2880"/>
            <w:vAlign w:val="center"/>
          </w:tcPr>
          <w:p>
            <w:r/>
            <w:hyperlink r:id="rId12">
              <w:r>
                <w:rPr>
                  <w:rStyle w:val="Hyperlink"/>
                </w:rPr>
                <w:t xml:space="preserve">AUB EAA programme page</w:t>
              </w:r>
            </w:hyperlink>
          </w:p>
        </w:tc>
      </w:tr>
      <w:tr>
        <w:tc>
          <w:tcPr>
            <w:tcW w:type="dxa" w:w="2880"/>
            <w:vAlign w:val="center"/>
          </w:tcPr>
          <w:p>
            <w:r/>
            <w:r>
              <w:t>Interviews</w:t>
            </w:r>
          </w:p>
        </w:tc>
        <w:tc>
          <w:tcPr>
            <w:tcW w:type="dxa" w:w="2880"/>
            <w:vAlign w:val="center"/>
          </w:tcPr>
          <w:p>
            <w:r/>
            <w:r>
              <w:t>Not available</w:t>
            </w:r>
          </w:p>
        </w:tc>
        <w:tc>
          <w:tcPr>
            <w:tcW w:type="dxa" w:w="2880"/>
            <w:vAlign w:val="center"/>
          </w:tcPr>
          <w:p>
            <w:r/>
            <w:hyperlink r:id="rId15">
              <w:r>
                <w:rPr>
                  <w:rStyle w:val="Hyperlink"/>
                </w:rPr>
                <w:t xml:space="preserve">AUB EAA brochure (PDF)</w:t>
              </w:r>
            </w:hyperlink>
          </w:p>
        </w:tc>
      </w:tr>
      <w:tr>
        <w:tc>
          <w:tcPr>
            <w:tcW w:type="dxa" w:w="2880"/>
            <w:vAlign w:val="center"/>
          </w:tcPr>
          <w:p>
            <w:r/>
            <w:r>
              <w:t>Decisions</w:t>
            </w:r>
          </w:p>
        </w:tc>
        <w:tc>
          <w:tcPr>
            <w:tcW w:type="dxa" w:w="2880"/>
            <w:vAlign w:val="center"/>
          </w:tcPr>
          <w:p>
            <w:r/>
            <w:r>
              <w:t>Not available</w:t>
            </w:r>
          </w:p>
        </w:tc>
        <w:tc>
          <w:tcPr>
            <w:tcW w:type="dxa" w:w="2880"/>
            <w:vAlign w:val="center"/>
          </w:tcPr>
          <w:p>
            <w:r/>
            <w:hyperlink r:id="rId15">
              <w:r>
                <w:rPr>
                  <w:rStyle w:val="Hyperlink"/>
                </w:rPr>
                <w:t xml:space="preserve">AUB EAA brochure (PDF)</w:t>
              </w:r>
            </w:hyperlink>
          </w:p>
        </w:tc>
      </w:tr>
      <w:tr>
        <w:tc>
          <w:tcPr>
            <w:tcW w:type="dxa" w:w="2880"/>
            <w:vAlign w:val="center"/>
          </w:tcPr>
          <w:p>
            <w:r/>
            <w:r>
              <w:t>Programme closed to new applicants</w:t>
            </w:r>
          </w:p>
        </w:tc>
        <w:tc>
          <w:tcPr>
            <w:tcW w:type="dxa" w:w="2880"/>
            <w:vAlign w:val="center"/>
          </w:tcPr>
          <w:p>
            <w:r/>
            <w:r>
              <w:t>June 2025</w:t>
            </w:r>
          </w:p>
        </w:tc>
        <w:tc>
          <w:tcPr>
            <w:tcW w:type="dxa" w:w="2880"/>
            <w:vAlign w:val="center"/>
          </w:tcPr>
          <w:p>
            <w:r/>
            <w:hyperlink r:id="rId9">
              <w:r>
                <w:rPr>
                  <w:rStyle w:val="Hyperlink"/>
                </w:rPr>
                <w:t xml:space="preserve">AUB</w:t>
              </w:r>
            </w:hyperlink>
          </w:p>
        </w:tc>
      </w:tr>
    </w:tbl>
    <w:p>
      <w:r/>
      <w:r>
        <w:rPr>
          <w:b/>
        </w:rPr>
        <w:t>Required documents:</w:t>
      </w:r>
      <w:r>
        <w:t xml:space="preserve"> Not available. No document list was published.</w:t>
      </w:r>
    </w:p>
    <w:p>
      <w:r/>
      <w:r>
        <w:rPr>
          <w:b/>
        </w:rPr>
        <w:t>If you are looking for current AUB aid:</w:t>
      </w:r>
      <w:r>
        <w:t xml:space="preserve"> this programme is closed, but AUB runs its own financial aid and scholarship programmes. See AUB's own pages, and the other scholarships listed on this site.</w:t>
      </w:r>
    </w:p>
    <w:p/>
    <w:p>
      <w:pPr>
        <w:pStyle w:val="Heading1"/>
      </w:pPr>
      <w:r>
        <w:t>Supported universities</w:t>
      </w:r>
    </w:p>
    <w:p>
      <w:r>
        <w:t>The scholarship funded degrees at one university only. A separate study-abroad component placed a small number of recipients at partner universities in Qatar for a term.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center"/>
          </w:tcPr>
          <w:p>
            <w:r>
              <w:rPr>
                <w:b/>
              </w:rPr>
            </w:r>
            <w:r>
              <w:rPr>
                <w:b/>
              </w:rPr>
            </w:r>
            <w:r>
              <w:rPr>
                <w:b/>
              </w:rPr>
              <w:t>University</w:t>
            </w:r>
            <w:r>
              <w:rPr>
                <w:b/>
              </w:rPr>
            </w:r>
          </w:p>
        </w:tc>
        <w:tc>
          <w:tcPr>
            <w:tcW w:type="dxa" w:w="2160"/>
            <w:vAlign w:val="center"/>
          </w:tcPr>
          <w:p>
            <w:r>
              <w:rPr>
                <w:b/>
              </w:rPr>
            </w:r>
            <w:r>
              <w:rPr>
                <w:b/>
              </w:rPr>
            </w:r>
            <w:r>
              <w:rPr>
                <w:b/>
              </w:rPr>
              <w:t>Country</w:t>
            </w:r>
            <w:r>
              <w:rPr>
                <w:b/>
              </w:rPr>
            </w:r>
          </w:p>
        </w:tc>
        <w:tc>
          <w:tcPr>
            <w:tcW w:type="dxa" w:w="2160"/>
            <w:vAlign w:val="center"/>
          </w:tcPr>
          <w:p>
            <w:r>
              <w:rPr>
                <w:b/>
              </w:rPr>
            </w:r>
            <w:r>
              <w:rPr>
                <w:b/>
              </w:rPr>
            </w:r>
            <w:r>
              <w:rPr>
                <w:b/>
              </w:rPr>
              <w:t>Role</w:t>
            </w:r>
            <w:r>
              <w:rPr>
                <w:b/>
              </w:rPr>
            </w:r>
          </w:p>
        </w:tc>
        <w:tc>
          <w:tcPr>
            <w:tcW w:type="dxa" w:w="2160"/>
            <w:vAlign w:val="center"/>
          </w:tcPr>
          <w:p>
            <w:r>
              <w:rPr>
                <w:b/>
              </w:rPr>
            </w:r>
            <w:r>
              <w:rPr>
                <w:b/>
              </w:rPr>
            </w:r>
            <w:r>
              <w:rPr>
                <w:b/>
              </w:rPr>
              <w:t>Source</w:t>
            </w:r>
            <w:r>
              <w:rPr>
                <w:b/>
              </w:rPr>
            </w:r>
          </w:p>
        </w:tc>
      </w:tr>
      <w:tr>
        <w:tc>
          <w:tcPr>
            <w:tcW w:type="dxa" w:w="2160"/>
            <w:vAlign w:val="center"/>
          </w:tcPr>
          <w:p>
            <w:r/>
            <w:r>
              <w:t>American University of Beirut (AUB)</w:t>
            </w:r>
          </w:p>
        </w:tc>
        <w:tc>
          <w:tcPr>
            <w:tcW w:type="dxa" w:w="2160"/>
            <w:vAlign w:val="center"/>
          </w:tcPr>
          <w:p>
            <w:r/>
            <w:r>
              <w:t>Lebanon</w:t>
            </w:r>
          </w:p>
        </w:tc>
        <w:tc>
          <w:tcPr>
            <w:tcW w:type="dxa" w:w="2160"/>
            <w:vAlign w:val="center"/>
          </w:tcPr>
          <w:p>
            <w:r/>
            <w:r>
              <w:t>Degree-granting host for all recipients</w:t>
            </w:r>
          </w:p>
        </w:tc>
        <w:tc>
          <w:tcPr>
            <w:tcW w:type="dxa" w:w="2160"/>
            <w:vAlign w:val="center"/>
          </w:tcPr>
          <w:p>
            <w:r/>
            <w:hyperlink r:id="rId12">
              <w:r>
                <w:rPr>
                  <w:rStyle w:val="Hyperlink"/>
                </w:rPr>
                <w:t xml:space="preserve">AUB EAA programme page</w:t>
              </w:r>
            </w:hyperlink>
          </w:p>
        </w:tc>
      </w:tr>
      <w:tr>
        <w:tc>
          <w:tcPr>
            <w:tcW w:type="dxa" w:w="2160"/>
            <w:vAlign w:val="center"/>
          </w:tcPr>
          <w:p>
            <w:r/>
            <w:r>
              <w:t>Carnegie Mellon University in Qatar</w:t>
            </w:r>
          </w:p>
        </w:tc>
        <w:tc>
          <w:tcPr>
            <w:tcW w:type="dxa" w:w="2160"/>
            <w:vAlign w:val="center"/>
          </w:tcPr>
          <w:p>
            <w:r/>
            <w:r>
              <w:t>Qatar</w:t>
            </w:r>
          </w:p>
        </w:tc>
        <w:tc>
          <w:tcPr>
            <w:tcW w:type="dxa" w:w="2160"/>
            <w:vAlign w:val="center"/>
          </w:tcPr>
          <w:p>
            <w:r/>
            <w:r>
              <w:t>Study Abroad in Qatar host, from spring 2024</w:t>
            </w:r>
          </w:p>
        </w:tc>
        <w:tc>
          <w:tcPr>
            <w:tcW w:type="dxa" w:w="2160"/>
            <w:vAlign w:val="center"/>
          </w:tcPr>
          <w:p>
            <w:r/>
            <w:hyperlink r:id="rId13">
              <w:r>
                <w:rPr>
                  <w:rStyle w:val="Hyperlink"/>
                </w:rPr>
                <w:t xml:space="preserve">AUB</w:t>
              </w:r>
            </w:hyperlink>
          </w:p>
        </w:tc>
      </w:tr>
      <w:tr>
        <w:tc>
          <w:tcPr>
            <w:tcW w:type="dxa" w:w="2160"/>
            <w:vAlign w:val="center"/>
          </w:tcPr>
          <w:p>
            <w:r/>
            <w:r>
              <w:t>Texas A&amp;M University at Qatar</w:t>
            </w:r>
          </w:p>
        </w:tc>
        <w:tc>
          <w:tcPr>
            <w:tcW w:type="dxa" w:w="2160"/>
            <w:vAlign w:val="center"/>
          </w:tcPr>
          <w:p>
            <w:r/>
            <w:r>
              <w:t>Qatar</w:t>
            </w:r>
          </w:p>
        </w:tc>
        <w:tc>
          <w:tcPr>
            <w:tcW w:type="dxa" w:w="2160"/>
            <w:vAlign w:val="center"/>
          </w:tcPr>
          <w:p>
            <w:r/>
            <w:r>
              <w:t>Study Abroad in Qatar host, from spring 2024</w:t>
            </w:r>
          </w:p>
        </w:tc>
        <w:tc>
          <w:tcPr>
            <w:tcW w:type="dxa" w:w="2160"/>
            <w:vAlign w:val="center"/>
          </w:tcPr>
          <w:p>
            <w:r/>
            <w:hyperlink r:id="rId13">
              <w:r>
                <w:rPr>
                  <w:rStyle w:val="Hyperlink"/>
                </w:rPr>
                <w:t xml:space="preserve">AUB</w:t>
              </w:r>
            </w:hyperlink>
          </w:p>
        </w:tc>
      </w:tr>
    </w:tbl>
    <w:p/>
    <w:p>
      <w:pPr>
        <w:pStyle w:val="Heading1"/>
      </w:pPr>
      <w:r>
        <w:t>Benefits</w:t>
      </w:r>
    </w:p>
    <w:p>
      <w:pPr>
        <w:pStyle w:val="Heading2"/>
      </w:pPr>
      <w:r>
        <w:t>Tuition</w:t>
      </w:r>
    </w:p>
    <w:p>
      <w:pPr>
        <w:pStyle w:val="ListBullet"/>
      </w:pPr>
      <w:r/>
      <w:r>
        <w:rPr>
          <w:b/>
        </w:rPr>
        <w:t>Tuition:</w:t>
      </w:r>
      <w:r>
        <w:t xml:space="preserve"> 100% of tuition fees covered. </w:t>
      </w:r>
      <w:hyperlink r:id="rId18">
        <w:r>
          <w:rPr>
            <w:rStyle w:val="Hyperlink"/>
          </w:rPr>
          <w:t xml:space="preserve">AUB, first cohort</w:t>
        </w:r>
      </w:hyperlink>
    </w:p>
    <w:p>
      <w:pPr>
        <w:pStyle w:val="ListBullet"/>
      </w:pPr>
      <w:r/>
      <w:r>
        <w:rPr>
          <w:b/>
        </w:rPr>
        <w:t>Housing / boarding:</w:t>
      </w:r>
      <w:r>
        <w:t xml:space="preserve"> Not available. No official source documents a housing benefit.</w:t>
      </w:r>
    </w:p>
    <w:p>
      <w:pPr>
        <w:pStyle w:val="ListBullet"/>
      </w:pPr>
      <w:r/>
      <w:r>
        <w:rPr>
          <w:b/>
        </w:rPr>
        <w:t>Stipend:</w:t>
      </w:r>
      <w:r>
        <w:t xml:space="preserve"> Not available. No official source documents a living stipend.</w:t>
      </w:r>
    </w:p>
    <w:p>
      <w:pPr>
        <w:pStyle w:val="ListBullet"/>
      </w:pPr>
      <w:r/>
      <w:r>
        <w:rPr>
          <w:b/>
        </w:rPr>
        <w:t>Books and materials:</w:t>
      </w:r>
      <w:r>
        <w:t xml:space="preserve"> Not available.</w:t>
      </w:r>
    </w:p>
    <w:p>
      <w:pPr>
        <w:pStyle w:val="ListBullet"/>
      </w:pPr>
      <w:r/>
      <w:r>
        <w:rPr>
          <w:b/>
        </w:rPr>
        <w:t>Laptop or equipment:</w:t>
      </w:r>
      <w:r>
        <w:t xml:space="preserve"> Not available.</w:t>
      </w:r>
    </w:p>
    <w:p>
      <w:pPr>
        <w:pStyle w:val="ListBullet"/>
      </w:pPr>
      <w:r/>
      <w:r>
        <w:rPr>
          <w:b/>
        </w:rPr>
        <w:t>Health insurance:</w:t>
      </w:r>
      <w:r>
        <w:t xml:space="preserve"> Not available.</w:t>
      </w:r>
    </w:p>
    <w:p>
      <w:pPr>
        <w:pStyle w:val="ListBullet"/>
      </w:pPr>
      <w:r/>
      <w:r>
        <w:rPr>
          <w:b/>
        </w:rPr>
        <w:t>Travel:</w:t>
      </w:r>
      <w:r>
        <w:t xml:space="preserve"> Not available, other than the study-abroad component below, whose cost coverage was not published.</w:t>
      </w:r>
    </w:p>
    <w:p>
      <w:r>
        <w:t>Only tuition and the programming below are documented in official sources. The absence of a housing, stipend, or equipment benefit here means it was never published — not that it was explicitly excluded.</w:t>
      </w:r>
    </w:p>
    <w:p>
      <w:pPr>
        <w:pStyle w:val="Heading2"/>
      </w:pPr>
      <w:r>
        <w:t>Programming and student support</w:t>
      </w:r>
    </w:p>
    <w:p>
      <w:pPr>
        <w:pStyle w:val="ListBullet"/>
      </w:pPr>
      <w:r/>
      <w:r>
        <w:rPr>
          <w:b/>
        </w:rPr>
        <w:t>Student support services</w:t>
      </w:r>
      <w:r>
        <w:t xml:space="preserve"> and </w:t>
      </w:r>
      <w:r>
        <w:rPr>
          <w:b/>
        </w:rPr>
        <w:t>civic engagement opportunities</w:t>
      </w:r>
      <w:r>
        <w:t xml:space="preserve"> throughout the degree. </w:t>
      </w:r>
      <w:hyperlink r:id="rId17">
        <w:r>
          <w:rPr>
            <w:rStyle w:val="Hyperlink"/>
          </w:rPr>
          <w:t xml:space="preserve">EAA project page</w:t>
        </w:r>
      </w:hyperlink>
    </w:p>
    <w:p>
      <w:pPr>
        <w:pStyle w:val="ListBullet"/>
      </w:pPr>
      <w:r/>
      <w:r>
        <w:rPr>
          <w:b/>
        </w:rPr>
        <w:t>Qatar Connection:</w:t>
      </w:r>
      <w:r>
        <w:t xml:space="preserve"> EAA's platform for connecting scholarship recipients locally and internationally. </w:t>
      </w:r>
      <w:hyperlink r:id="rId18">
        <w:r>
          <w:rPr>
            <w:rStyle w:val="Hyperlink"/>
          </w:rPr>
          <w:t xml:space="preserve">AUB, first cohort</w:t>
        </w:r>
      </w:hyperlink>
    </w:p>
    <w:p>
      <w:pPr>
        <w:pStyle w:val="ListBullet"/>
      </w:pPr>
      <w:r/>
      <w:r>
        <w:rPr>
          <w:b/>
        </w:rPr>
        <w:t>Tailormade community service projects</w:t>
      </w:r>
      <w:r>
        <w:t xml:space="preserve">, </w:t>
      </w:r>
      <w:r>
        <w:rPr>
          <w:b/>
        </w:rPr>
        <w:t>competitions</w:t>
      </w:r>
      <w:r>
        <w:t xml:space="preserve">, </w:t>
      </w:r>
      <w:r>
        <w:rPr>
          <w:b/>
        </w:rPr>
        <w:t>international conferences</w:t>
      </w:r>
      <w:r>
        <w:t xml:space="preserve">, and social events. </w:t>
      </w:r>
      <w:hyperlink r:id="rId15">
        <w:r>
          <w:rPr>
            <w:rStyle w:val="Hyperlink"/>
          </w:rPr>
          <w:t xml:space="preserve">AUB EAA brochure (PDF)</w:t>
        </w:r>
      </w:hyperlink>
    </w:p>
    <w:p>
      <w:pPr>
        <w:pStyle w:val="ListBullet"/>
      </w:pPr>
      <w:r/>
      <w:r>
        <w:rPr>
          <w:b/>
        </w:rPr>
        <w:t>ACE Talks:</w:t>
      </w:r>
      <w:r>
        <w:t xml:space="preserve"> a public speaking, writing, presenting, and creative thinking competition open to programme students. </w:t>
      </w:r>
      <w:hyperlink r:id="rId16">
        <w:r>
          <w:rPr>
            <w:rStyle w:val="Hyperlink"/>
          </w:rPr>
          <w:t xml:space="preserve">AUB press release, June 2024 (PDF)</w:t>
        </w:r>
      </w:hyperlink>
    </w:p>
    <w:p>
      <w:pPr>
        <w:pStyle w:val="ListBullet"/>
      </w:pPr>
      <w:r/>
      <w:r>
        <w:rPr>
          <w:b/>
        </w:rPr>
        <w:t>Mentorship, workshops, and internship opportunities</w:t>
      </w:r>
      <w:r>
        <w:t xml:space="preserve">, including work with Qatari educational institutions and organisations. </w:t>
      </w:r>
      <w:hyperlink r:id="rId14">
        <w:r>
          <w:rPr>
            <w:rStyle w:val="Hyperlink"/>
          </w:rPr>
          <w:t xml:space="preserve">AUB announcement, August 2021</w:t>
        </w:r>
      </w:hyperlink>
    </w:p>
    <w:p>
      <w:pPr>
        <w:pStyle w:val="ListBullet"/>
      </w:pPr>
      <w:r/>
      <w:r>
        <w:rPr>
          <w:b/>
        </w:rPr>
        <w:t>Awards:</w:t>
      </w:r>
      <w:r>
        <w:t xml:space="preserve"> the programme recognised recipients with a Highest GPA Distinction award, a Highest Qatar Connection Participation award, and a Special Civic Engagement award. </w:t>
      </w:r>
      <w:hyperlink r:id="rId16">
        <w:r>
          <w:rPr>
            <w:rStyle w:val="Hyperlink"/>
          </w:rPr>
          <w:t xml:space="preserve">AUB press release, June 2024 (PDF)</w:t>
        </w:r>
      </w:hyperlink>
    </w:p>
    <w:p>
      <w:pPr>
        <w:pStyle w:val="Heading2"/>
      </w:pPr>
      <w:r>
        <w:t>Study Abroad in Qatar</w:t>
      </w:r>
    </w:p>
    <w:p>
      <w:pPr>
        <w:pStyle w:val="ListBullet"/>
      </w:pPr>
      <w:r>
        <w:t xml:space="preserve">Announced November 2023, in partnership with Qatar Foundation and EAA, starting with the spring 2024 term. </w:t>
      </w:r>
      <w:hyperlink r:id="rId13">
        <w:r>
          <w:rPr>
            <w:rStyle w:val="Hyperlink"/>
          </w:rPr>
          <w:t xml:space="preserve">AUB</w:t>
        </w:r>
      </w:hyperlink>
    </w:p>
    <w:p>
      <w:pPr>
        <w:pStyle w:val="ListBullet"/>
      </w:pPr>
      <w:r/>
      <w:r>
        <w:rPr>
          <w:b/>
        </w:rPr>
        <w:t>Hosts:</w:t>
      </w:r>
      <w:r>
        <w:t xml:space="preserve"> Carnegie Mellon University in Qatar and Texas A&amp;M University at Qatar.</w:t>
      </w:r>
    </w:p>
    <w:p>
      <w:pPr>
        <w:pStyle w:val="ListBullet"/>
      </w:pPr>
      <w:r/>
      <w:r>
        <w:rPr>
          <w:b/>
        </w:rPr>
        <w:t>Places:</w:t>
      </w:r>
      <w:r>
        <w:t xml:space="preserve"> Six recipients in the first group, with up to 15 expected over the following two years.</w:t>
      </w:r>
    </w:p>
    <w:p>
      <w:pPr>
        <w:pStyle w:val="ListBullet"/>
      </w:pPr>
      <w:r/>
      <w:r>
        <w:rPr>
          <w:b/>
        </w:rPr>
        <w:t>Selection:</w:t>
      </w:r>
      <w:r>
        <w:t xml:space="preserve"> Open to EAA-supported AUB students who had "overcome challenges and barriers to access higher education and excel in their studies," with area of specialisation and academic performance also considered.</w:t>
      </w:r>
    </w:p>
    <w:p>
      <w:pPr>
        <w:pStyle w:val="ListBullet"/>
      </w:pPr>
      <w:r/>
      <w:r>
        <w:rPr>
          <w:b/>
        </w:rPr>
        <w:t>What it covered:</w:t>
      </w:r>
      <w:r>
        <w:t xml:space="preserve"> Not available. Flights, housing, and tuition arrangements for the term abroad were not published.</w:t>
      </w:r>
    </w:p>
    <w:p/>
    <w:p>
      <w:pPr>
        <w:pStyle w:val="Heading1"/>
      </w:pPr>
      <w:r>
        <w:t>Contacts of recipients</w:t>
      </w:r>
    </w:p>
    <w:p>
      <w:r>
        <w:t>Past recipients who agreed to answer questions: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center"/>
          </w:tcPr>
          <w:p>
            <w:r>
              <w:rPr>
                <w:b/>
              </w:rPr>
            </w:r>
            <w:r>
              <w:rPr>
                <w:b/>
              </w:rPr>
            </w:r>
            <w:r>
              <w:rPr>
                <w:b/>
              </w:rPr>
              <w:t>Name</w:t>
            </w:r>
            <w:r>
              <w:rPr>
                <w:b/>
              </w:rPr>
            </w:r>
          </w:p>
        </w:tc>
        <w:tc>
          <w:tcPr>
            <w:tcW w:type="dxa" w:w="2160"/>
            <w:vAlign w:val="center"/>
          </w:tcPr>
          <w:p>
            <w:r>
              <w:rPr>
                <w:b/>
              </w:rPr>
            </w:r>
            <w:r>
              <w:rPr>
                <w:b/>
              </w:rPr>
            </w:r>
            <w:r>
              <w:rPr>
                <w:b/>
              </w:rPr>
              <w:t>Year</w:t>
            </w:r>
            <w:r>
              <w:rPr>
                <w:b/>
              </w:rPr>
            </w:r>
          </w:p>
        </w:tc>
        <w:tc>
          <w:tcPr>
            <w:tcW w:type="dxa" w:w="2160"/>
            <w:vAlign w:val="center"/>
          </w:tcPr>
          <w:p>
            <w:r>
              <w:rPr>
                <w:b/>
              </w:rPr>
            </w:r>
            <w:r>
              <w:rPr>
                <w:b/>
              </w:rPr>
            </w:r>
            <w:r>
              <w:rPr>
                <w:b/>
              </w:rPr>
              <w:t>University</w:t>
            </w:r>
            <w:r>
              <w:rPr>
                <w:b/>
              </w:rPr>
            </w:r>
          </w:p>
        </w:tc>
        <w:tc>
          <w:tcPr>
            <w:tcW w:type="dxa" w:w="2160"/>
            <w:vAlign w:val="center"/>
          </w:tcPr>
          <w:p>
            <w:r>
              <w:rPr>
                <w:b/>
              </w:rPr>
            </w:r>
            <w:r>
              <w:rPr>
                <w:b/>
              </w:rPr>
            </w:r>
            <w:r>
              <w:rPr>
                <w:b/>
              </w:rPr>
              <w:t>Contact</w:t>
            </w:r>
            <w:r>
              <w:rPr>
                <w:b/>
              </w:rPr>
            </w:r>
          </w:p>
        </w:tc>
      </w:tr>
      <w:tr>
        <w:tc>
          <w:tcPr>
            <w:tcW w:type="dxa" w:w="2160"/>
            <w:vAlign w:val="center"/>
          </w:tcPr>
          <w:p>
            <w:r/>
            <w:r>
              <w:t>TODO</w:t>
            </w:r>
          </w:p>
        </w:tc>
        <w:tc>
          <w:tcPr>
            <w:tcW w:type="dxa" w:w="2160"/>
            <w:vAlign w:val="center"/>
          </w:tcPr>
          <w:p>
            <w:r/>
            <w:r>
              <w:t>TODO</w:t>
            </w:r>
          </w:p>
        </w:tc>
        <w:tc>
          <w:tcPr>
            <w:tcW w:type="dxa" w:w="2160"/>
            <w:vAlign w:val="center"/>
          </w:tcPr>
          <w:p>
            <w:r/>
            <w:r>
              <w:t>TODO</w:t>
            </w:r>
          </w:p>
        </w:tc>
        <w:tc>
          <w:tcPr>
            <w:tcW w:type="dxa" w:w="2160"/>
            <w:vAlign w:val="center"/>
          </w:tcPr>
          <w:p>
            <w:r/>
            <w:r>
              <w:t>TODO</w:t>
            </w:r>
          </w:p>
        </w:tc>
      </w:tr>
    </w:tbl>
    <w:p>
      <w:r/>
      <w:r>
        <w:rPr>
          <w:b/>
        </w:rPr>
        <w:t>Official program contact:</w:t>
      </w:r>
      <w:r>
        <w:t xml:space="preserve"> The programme has concluded, so these channels may no longer be monitored. As published in AUB's programme brochure:</w:t>
      </w:r>
    </w:p>
    <w:p>
      <w:pPr>
        <w:pStyle w:val="ListBullet"/>
      </w:pPr>
      <w:r/>
      <w:r>
        <w:rPr>
          <w:b/>
        </w:rPr>
        <w:t>Email:</w:t>
      </w:r>
      <w:r>
        <w:t xml:space="preserve"> qatar-eaa@aub.edu.lb</w:t>
      </w:r>
    </w:p>
    <w:p>
      <w:pPr>
        <w:pStyle w:val="ListBullet"/>
      </w:pPr>
      <w:r/>
      <w:r>
        <w:rPr>
          <w:b/>
        </w:rPr>
        <w:t>Phone:</w:t>
      </w:r>
      <w:r>
        <w:t xml:space="preserve"> +961 1 350000, extension 3345</w:t>
      </w:r>
    </w:p>
    <w:p>
      <w:pPr>
        <w:pStyle w:val="ListBullet"/>
      </w:pPr>
      <w:r/>
      <w:r>
        <w:rPr>
          <w:b/>
        </w:rPr>
        <w:t>Facebook:</w:t>
      </w:r>
      <w:r>
        <w:t xml:space="preserve"> AUB Qatar Scholarship – EAA Program</w:t>
      </w:r>
    </w:p>
    <w:p>
      <w:pPr>
        <w:pStyle w:val="ListBullet"/>
      </w:pPr>
      <w:r/>
      <w:r>
        <w:rPr>
          <w:b/>
        </w:rPr>
        <w:t>Instagram:</w:t>
      </w:r>
      <w:r>
        <w:t xml:space="preserve"> AUB Qatar Scholarship – EAA</w:t>
      </w:r>
    </w:p>
    <w:p>
      <w:pPr>
        <w:pStyle w:val="ListBullet"/>
      </w:pPr>
      <w:r/>
      <w:r>
        <w:rPr>
          <w:b/>
        </w:rPr>
        <w:t>X (Twitter):</w:t>
      </w:r>
      <w:r>
        <w:t xml:space="preserve"> </w:t>
      </w:r>
      <w:hyperlink r:id="rId20">
        <w:r>
          <w:rPr>
            <w:rStyle w:val="Hyperlink"/>
          </w:rPr>
          <w:t xml:space="preserve">@aub_eaa</w:t>
        </w:r>
      </w:hyperlink>
    </w:p>
    <w:p>
      <w:pPr>
        <w:pStyle w:val="ListBullet"/>
      </w:pPr>
      <w:r/>
      <w:r>
        <w:rPr>
          <w:b/>
        </w:rPr>
        <w:t>Programme page:</w:t>
      </w:r>
      <w:r>
        <w:t xml:space="preserve"> </w:t>
      </w:r>
      <w:hyperlink r:id="rId12">
        <w:r>
          <w:rPr>
            <w:rStyle w:val="Hyperlink"/>
          </w:rPr>
          <w:t xml:space="preserve">https://www.aub.edu.lb/eaa/Pages/default.aspx</w:t>
        </w:r>
      </w:hyperlink>
    </w:p>
    <w:p>
      <w:pPr>
        <w:pStyle w:val="ListBullet"/>
      </w:pPr>
      <w:r/>
      <w:r>
        <w:rPr>
          <w:b/>
        </w:rPr>
        <w:t>Source:</w:t>
      </w:r>
      <w:r>
        <w:t xml:space="preserve"> </w:t>
      </w:r>
      <w:hyperlink r:id="rId15">
        <w:r>
          <w:rPr>
            <w:rStyle w:val="Hyperlink"/>
          </w:rPr>
          <w:t xml:space="preserve">AUB EAA brochure (PDF)</w:t>
        </w:r>
      </w:hyperlink>
    </w:p>
    <w:p>
      <w:r/>
      <w:r>
        <w:rPr>
          <w:b/>
        </w:rPr>
        <w:t>Past recipients:</w:t>
      </w:r>
      <w:r>
        <w:t xml:space="preserve"> Not available — no publicly listed recipient names or contact details. AUB's June 2024 press release names several award winners and ACE Talks finalists, but publishes no contact information for them.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555555"/>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ub.edu.lb/articles/Pages/Qatar-Scholarship%E2%80%93at-AUB-Celebrates-the-Graduation-of-93-Students.aspx" TargetMode="External"/><Relationship Id="rId10" Type="http://schemas.openxmlformats.org/officeDocument/2006/relationships/hyperlink" Target="https://thepeninsulaqatar.com/article/03/06/2025/eaa-american-university-of-beirut-celebrate-completion-of-qatar-scholarship-programme-with-graduation-of-93-students" TargetMode="External"/><Relationship Id="rId11" Type="http://schemas.openxmlformats.org/officeDocument/2006/relationships/hyperlink" Target="https://www.educationaboveall.org" TargetMode="External"/><Relationship Id="rId12" Type="http://schemas.openxmlformats.org/officeDocument/2006/relationships/hyperlink" Target="https://www.aub.edu.lb/eaa/Pages/default.aspx" TargetMode="External"/><Relationship Id="rId13" Type="http://schemas.openxmlformats.org/officeDocument/2006/relationships/hyperlink" Target="https://www.aub.edu.lb/articles/Pages/Qatar-Foundation-and-Education-partner-with-AUB-to-offer-students-chance-study-abroad-in-Qatar.aspx" TargetMode="External"/><Relationship Id="rId14" Type="http://schemas.openxmlformats.org/officeDocument/2006/relationships/hyperlink" Target="https://aub.edu.lb/articles/Pages/QatarScholarship.aspx" TargetMode="External"/><Relationship Id="rId15" Type="http://schemas.openxmlformats.org/officeDocument/2006/relationships/hyperlink" Target="https://aub.edu.lb/eaa/Documents/EAA%20program%20at%20AUB.pdf" TargetMode="External"/><Relationship Id="rId16" Type="http://schemas.openxmlformats.org/officeDocument/2006/relationships/hyperlink" Target="https://www.aub.edu.lb/communications/media/Documents/June-24/Qatar%20Scholarship-HM-SAM-CA-en.pdf" TargetMode="External"/><Relationship Id="rId17" Type="http://schemas.openxmlformats.org/officeDocument/2006/relationships/hyperlink" Target="https://www.educationaboveall.org/our-work/our-projects/qatar-scholarship-eaaamerican-university-beirut" TargetMode="External"/><Relationship Id="rId18" Type="http://schemas.openxmlformats.org/officeDocument/2006/relationships/hyperlink" Target="https://www.aub.edu.lb/articles/Pages/Qatar_Scholarship_at_AUB_celebrates_its_first_cohort_of_students.aspx" TargetMode="External"/><Relationship Id="rId19" Type="http://schemas.openxmlformats.org/officeDocument/2006/relationships/hyperlink" Target="https://www.nna-leb.gov.lb/en/education/623595/the-qatar-scholarship-education-above-all-program" TargetMode="External"/><Relationship Id="rId20" Type="http://schemas.openxmlformats.org/officeDocument/2006/relationships/hyperlink" Target="https://x.com/aub_e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