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Methodology Document Structure Test</w:t>
      </w:r>
    </w:p>
    <w:p>
      <w:r>
        <w:t>This document tests heading hierarchy extraction from DOCX files.</w:t>
      </w:r>
    </w:p>
    <w:p>
      <w:pPr>
        <w:pStyle w:val="Heading1"/>
      </w:pPr>
      <w:r>
        <w:t>1. Introduction</w:t>
      </w:r>
    </w:p>
    <w:p>
      <w:r>
        <w:t>The introduction section provides an overview of the methodology.</w:t>
      </w:r>
    </w:p>
    <w:p>
      <w:pPr>
        <w:pStyle w:val="Heading2"/>
      </w:pPr>
      <w:r>
        <w:t>1.1 Purpose</w:t>
      </w:r>
    </w:p>
    <w:p>
      <w:r>
        <w:t>This methodology is designed to quantify GHG emission reductions from improved forest management practices.</w:t>
      </w:r>
    </w:p>
    <w:p>
      <w:pPr>
        <w:pStyle w:val="Heading2"/>
      </w:pPr>
      <w:r>
        <w:t>1.2 Scope</w:t>
      </w:r>
    </w:p>
    <w:p>
      <w:r>
        <w:t>The scope includes all carbon pools within the project boundary.</w:t>
      </w:r>
    </w:p>
    <w:p>
      <w:pPr>
        <w:pStyle w:val="Heading1"/>
      </w:pPr>
      <w:r>
        <w:t>2. Applicability Conditions</w:t>
      </w:r>
    </w:p>
    <w:p>
      <w:r>
        <w:t>Projects must meet specific applicability conditions.</w:t>
      </w:r>
    </w:p>
    <w:p>
      <w:pPr>
        <w:pStyle w:val="Heading2"/>
      </w:pPr>
      <w:r>
        <w:t>2.1 Geographic Requirements</w:t>
      </w:r>
    </w:p>
    <w:p>
      <w:r>
        <w:t>Projects must be located in eligible regions as defined by the registry.</w:t>
      </w:r>
    </w:p>
    <w:p>
      <w:pPr>
        <w:pStyle w:val="Heading3"/>
      </w:pPr>
      <w:r>
        <w:t>2.1.1 Forest Types</w:t>
      </w:r>
    </w:p>
    <w:p>
      <w:r>
        <w:t>Eligible forest types include temperate, tropical, and boreal forests.</w:t>
      </w:r>
    </w:p>
    <w:p>
      <w:pPr>
        <w:pStyle w:val="Heading3"/>
      </w:pPr>
      <w:r>
        <w:t>2.1.2 Land Tenure</w:t>
      </w:r>
    </w:p>
    <w:p>
      <w:r>
        <w:t>Project proponents must demonstrate legal control over the project area.</w:t>
      </w:r>
    </w:p>
    <w:p>
      <w:pPr>
        <w:pStyle w:val="Heading1"/>
      </w:pPr>
      <w:r>
        <w:t>3. Baseline Determination</w:t>
      </w:r>
    </w:p>
    <w:p>
      <w:r>
        <w:t>The baseline represents the scenario without project intervention.</w:t>
      </w:r>
    </w:p>
    <w:p>
      <w:pPr>
        <w:pStyle w:val="Heading2"/>
      </w:pPr>
      <w:r>
        <w:t>3.1 Baseline Scenario</w:t>
      </w:r>
    </w:p>
    <w:p>
      <w:r>
        <w:t>The baseline scenario is determined using standardized approaches.</w:t>
      </w:r>
    </w:p>
    <w:p>
      <w:pPr>
        <w:pStyle w:val="Heading1"/>
      </w:pPr>
      <w:r>
        <w:t>4. Monitoring Requirements</w:t>
      </w:r>
    </w:p>
    <w:p>
      <w:r>
        <w:t>Ongoing monitoring is essential for verifying emission reductions.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