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with Chemical Formulas</w:t>
      </w:r>
    </w:p>
    <w:p>
      <w:r>
        <w:t>This document tests subscript and superscript text handling during chunking.</w:t>
      </w:r>
    </w:p>
    <w:p>
      <w:pPr>
        <w:pStyle w:val="Heading1"/>
      </w:pPr>
      <w:r>
        <w:t>1. Emissions Measurement</w:t>
      </w:r>
    </w:p>
    <w:p>
      <w:r>
        <w:t>Baseline emissions are measured in tCO</w:t>
      </w:r>
      <w:r>
        <w:rPr>
          <w:vertAlign w:val="subscript"/>
        </w:rPr>
        <w:t>2</w:t>
      </w:r>
      <w:r>
        <w:t>e per year.</w:t>
      </w:r>
    </w:p>
    <w:p>
      <w:r>
        <w:t>The project reduces CO</w:t>
      </w:r>
      <w:r>
        <w:rPr>
          <w:vertAlign w:val="subscript"/>
        </w:rPr>
        <w:t>2</w:t>
      </w:r>
      <w:r>
        <w:t xml:space="preserve"> emissions by 50,000 tonnes annually.</w:t>
      </w:r>
    </w:p>
    <w:p>
      <w:pPr>
        <w:pStyle w:val="Heading1"/>
      </w:pPr>
      <w:r>
        <w:t>2. Scale Factors</w:t>
      </w:r>
    </w:p>
    <w:p>
      <w:r>
        <w:t>The conversion factor is 10</w:t>
      </w:r>
      <w:r>
        <w:rPr>
          <w:vertAlign w:val="superscript"/>
        </w:rPr>
        <w:t>3</w:t>
      </w:r>
      <w:r>
        <w:t xml:space="preserve"> units per hectare.</w:t>
      </w:r>
    </w:p>
    <w:p>
      <w:r>
        <w:t>Area coverage: 2.5 x 10</w:t>
      </w:r>
      <w:r>
        <w:rPr>
          <w:vertAlign w:val="superscript"/>
        </w:rPr>
        <w:t>6</w:t>
      </w:r>
      <w:r>
        <w:t xml:space="preserve"> m</w:t>
      </w:r>
      <w:r>
        <w:rPr>
          <w:vertAlign w:val="superscript"/>
        </w:rPr>
        <w:t>2</w:t>
      </w:r>
      <w:r>
        <w:t>.</w:t>
      </w:r>
    </w:p>
    <w:p>
      <w:pPr>
        <w:pStyle w:val="Heading1"/>
      </w:pPr>
      <w:r>
        <w:t>3. Water Usage</w:t>
      </w:r>
    </w:p>
    <w:p>
      <w:r>
        <w:t>Water (H</w:t>
      </w:r>
      <w:r>
        <w:rPr>
          <w:vertAlign w:val="subscript"/>
        </w:rPr>
        <w:t>2</w:t>
      </w:r>
      <w:r>
        <w:t>O) consumption is monitored quarterly.</w:t>
      </w:r>
    </w:p>
    <w:p>
      <w:pPr>
        <w:pStyle w:val="Heading1"/>
      </w:pPr>
      <w:r>
        <w:t>4.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Unit</w:t>
            </w:r>
          </w:p>
        </w:tc>
      </w:tr>
      <w:tr>
        <w:tc>
          <w:tcPr>
            <w:tcW w:type="dxa" w:w="4320"/>
          </w:tcPr>
          <w:p>
            <w:r>
              <w:t>Emission Reduction</w:t>
            </w:r>
          </w:p>
        </w:tc>
        <w:tc>
          <w:tcPr>
            <w:tcW w:type="dxa" w:w="4320"/>
          </w:tcPr>
          <w:p>
            <w:r/>
            <w:r>
              <w:t>tCO</w:t>
            </w:r>
            <w:r>
              <w:rPr>
                <w:vertAlign w:val="subscript"/>
              </w:rPr>
              <w:t>2</w:t>
            </w:r>
            <w:r>
              <w:t>e</w:t>
            </w:r>
          </w:p>
        </w:tc>
      </w:tr>
      <w:tr>
        <w:tc>
          <w:tcPr>
            <w:tcW w:type="dxa" w:w="4320"/>
          </w:tcPr>
          <w:p>
            <w:r>
              <w:t>Project Area</w:t>
            </w:r>
          </w:p>
        </w:tc>
        <w:tc>
          <w:tcPr>
            <w:tcW w:type="dxa" w:w="4320"/>
          </w:tcPr>
          <w:p>
            <w:r>
              <w:t>hectares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