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Enterprise Cybersecurity Strategy</w:t>
      </w:r>
    </w:p>
    <w:p>
      <w:pPr>
        <w:spacing w:after="4000"/>
        <w:jc w:val="center"/>
      </w:pPr>
      <w:r>
        <w:rPr>
          <w:color w:val="595959"/>
          <w:sz w:val="24"/>
          <w:szCs w:val="24"/>
        </w:rPr>
        <w:t xml:space="preserve">FY2027 – FY2028   |   Example / Sample Document</w:t>
      </w:r>
    </w:p>
    <w:p>
      <w:pPr>
        <w:jc w:val="center"/>
      </w:pPr>
      <w:r>
        <w:rPr>
          <w:color w:val="595959"/>
          <w:sz w:val="22"/>
          <w:szCs w:val="22"/>
        </w:rPr>
        <w:t xml:space="preserve">Prepared by the Office of the CISO</w:t>
      </w:r>
    </w:p>
    <w:p>
      <w:pPr>
        <w:spacing w:before="120"/>
        <w:jc w:val="center"/>
      </w:pPr>
      <w:r>
        <w:rPr>
          <w:i/>
          <w:iCs/>
          <w:color w:val="595959"/>
          <w:sz w:val="22"/>
          <w:szCs w:val="22"/>
        </w:rPr>
        <w:t xml:space="preserve">Aligned to NIST Cybersecurity Framework (CSF) 2.0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rPr>
          <w:sz w:val="22"/>
          <w:szCs w:val="22"/>
        </w:rPr>
        <w:t xml:space="preserve">This document is an illustrative example of an enterprise cybersecurity strategy, generated to demonstrate the document-design skill set installed in this repository. It outlines a sample approach to reducing cyber risk across a mid-size organization by aligning governance, people, process, and technology investments to the NIST Cybersecurity Framework (CSF) 2.0.</w:t>
      </w:r>
    </w:p>
    <w:p>
      <w:pPr>
        <w:spacing w:after="160"/>
      </w:pPr>
      <w:r>
        <w:rPr>
          <w:sz w:val="22"/>
          <w:szCs w:val="22"/>
        </w:rPr>
        <w:t xml:space="preserve">The strategy is organized around the six CSF 2.0 functions — Govern, Identify, Protect, Detect, Respond, and Recover — and translates each into concrete initiatives, a phased delivery roadmap, and a set of governance metrics used to track progress and report to leadership and the board.</w:t>
      </w:r>
    </w:p>
    <w:p>
      <w:pPr>
        <w:pStyle w:val="Heading1"/>
      </w:pPr>
      <w:r>
        <w:t xml:space="preserve">Threat Landscape Overview</w:t>
      </w:r>
    </w:p>
    <w:p>
      <w:pPr>
        <w:spacing w:after="160"/>
      </w:pPr>
      <w:r>
        <w:rPr>
          <w:sz w:val="22"/>
          <w:szCs w:val="22"/>
        </w:rPr>
        <w:t xml:space="preserve">Organizations of this profile commonly face a mix of opportunistic and targeted threats. The following categories represent the highest-priority risks this strategy is designed to address: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Ransomware and extortion campaigns targeting unpatched external services and exposed remote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Business email compromise (BEC) and credential phishing leading to fraud or account takeover.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Third-party and supply-chain compromise via vendors, SaaS integrations, and open-source dependencies.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Insider risk from privileged misuse or unintentional data exposure.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Cloud misconfiguration exposing data stores, identities, or workloads to the public internet.</w:t>
      </w:r>
    </w:p>
    <w:p>
      <w:pPr>
        <w:pStyle w:val="Heading1"/>
      </w:pPr>
      <w:r>
        <w:t xml:space="preserve">Strategic Objectives (NIST CSF 2.0)</w:t>
      </w:r>
    </w:p>
    <w:p>
      <w:pPr>
        <w:spacing w:after="160"/>
      </w:pPr>
      <w:r>
        <w:rPr>
          <w:sz w:val="22"/>
          <w:szCs w:val="22"/>
        </w:rPr>
        <w:t xml:space="preserve">Each CSF 2.0 function below defines a strategic goal and the initiatives used to achieve it.</w:t>
      </w:r>
    </w:p>
    <w:p>
      <w:pPr>
        <w:pStyle w:val="Heading2"/>
      </w:pPr>
      <w:r>
        <w:t xml:space="preserve">Govern</w:t>
      </w:r>
    </w:p>
    <w:p>
      <w:pPr>
        <w:spacing w:after="160"/>
      </w:pPr>
      <w:r>
        <w:rPr>
          <w:sz w:val="22"/>
          <w:szCs w:val="22"/>
        </w:rPr>
        <w:t xml:space="preserve">Establish and monitor cybersecurity risk management strategy, roles, policy, and oversight.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Charter a Cybersecurity Steering Committee with executive sponsorship.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Publish an enterprise cybersecurity policy aligned to business risk appetite.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Define roles and accountability (RACI) across security, IT, and business units.</w:t>
      </w:r>
    </w:p>
    <w:p>
      <w:pPr>
        <w:pStyle w:val="Heading2"/>
      </w:pPr>
      <w:r>
        <w:t xml:space="preserve">Identify</w:t>
      </w:r>
    </w:p>
    <w:p>
      <w:pPr>
        <w:spacing w:after="160"/>
      </w:pPr>
      <w:r>
        <w:rPr>
          <w:sz w:val="22"/>
          <w:szCs w:val="22"/>
        </w:rPr>
        <w:t xml:space="preserve">Understand assets, data, risks, and the threat landscape that could affect operations.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and maintain an authoritative asset and data inventory (CMDB).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Run an annual enterprise risk assessment mapped to business impact.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Establish a third-party / supply-chain risk register.</w:t>
      </w:r>
    </w:p>
    <w:p>
      <w:pPr>
        <w:pStyle w:val="Heading2"/>
      </w:pPr>
      <w:r>
        <w:t xml:space="preserve">Protect</w:t>
      </w:r>
    </w:p>
    <w:p>
      <w:pPr>
        <w:spacing w:after="160"/>
      </w:pPr>
      <w:r>
        <w:rPr>
          <w:sz w:val="22"/>
          <w:szCs w:val="22"/>
        </w:rPr>
        <w:t xml:space="preserve">Implement safeguards to limit or contain the impact of potential cybersecurity 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Deploy least-privilege identity and access management (IAM) with MFA everywhere.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Standardize endpoint hardening and patch management SLAs.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Deliver quarterly security awareness training and phishing simulations.</w:t>
      </w:r>
    </w:p>
    <w:p>
      <w:pPr>
        <w:pStyle w:val="Heading2"/>
      </w:pPr>
      <w:r>
        <w:t xml:space="preserve">Detect</w:t>
      </w:r>
    </w:p>
    <w:p>
      <w:pPr>
        <w:spacing w:after="160"/>
      </w:pPr>
      <w:r>
        <w:rPr>
          <w:sz w:val="22"/>
          <w:szCs w:val="22"/>
        </w:rPr>
        <w:t xml:space="preserve">Develop and implement activities to identify the occurrence of a cybersecurity event.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Centralize logging and alerting through a SIEM with 24x7 monitoring.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Deploy EDR/XDR across endpoints and servers.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Establish threat-hunting cadence tied to MITRE ATT&amp;CK coverage.</w:t>
      </w:r>
    </w:p>
    <w:p>
      <w:pPr>
        <w:pStyle w:val="Heading2"/>
      </w:pPr>
      <w:r>
        <w:t xml:space="preserve">Respond</w:t>
      </w:r>
    </w:p>
    <w:p>
      <w:pPr>
        <w:spacing w:after="160"/>
      </w:pPr>
      <w:r>
        <w:rPr>
          <w:sz w:val="22"/>
          <w:szCs w:val="22"/>
        </w:rPr>
        <w:t xml:space="preserve">Take action regarding a detected cybersecurity incident to minimize impact.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Maintain and test an Incident Response Plan (IRP) with defined severity tiers.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Run a tabletop exercise at least twice per year with executive participation.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Establish external retainer support (forensics, legal, PR) before an incident occurs.</w:t>
      </w:r>
    </w:p>
    <w:p>
      <w:pPr>
        <w:pStyle w:val="Heading2"/>
      </w:pPr>
      <w:r>
        <w:t xml:space="preserve">Recover</w:t>
      </w:r>
    </w:p>
    <w:p>
      <w:pPr>
        <w:spacing w:after="160"/>
      </w:pPr>
      <w:r>
        <w:rPr>
          <w:sz w:val="22"/>
          <w:szCs w:val="22"/>
        </w:rPr>
        <w:t xml:space="preserve">Maintain resilience plans and restore capabilities impaired by a cybersecurity incident.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Validate backup integrity and recovery time/point objectives (RTO/RPO) quarterly.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Maintain a Business Continuity / Disaster Recovery plan aligned to critical 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Conduct post-incident reviews and feed lessons learned back into Identify/Protect.</w:t>
      </w:r>
    </w:p>
    <w:p>
      <w:r>
        <w:br w:type="page"/>
      </w:r>
    </w:p>
    <w:p>
      <w:pPr>
        <w:pStyle w:val="Heading1"/>
      </w:pPr>
      <w:r>
        <w:t xml:space="preserve">Implementation Roadmap</w:t>
      </w:r>
    </w:p>
    <w:p>
      <w:pPr>
        <w:spacing w:after="160"/>
      </w:pPr>
      <w:r>
        <w:rPr>
          <w:sz w:val="22"/>
          <w:szCs w:val="22"/>
        </w:rPr>
        <w:t xml:space="preserve">The roadmap below sequences initiatives across four phases over a two-year horizon.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436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Initiatives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Q1–Q2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 inventory, IAM/MFA rollout, security policy baseline, steering committee charter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CISO Office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Phase 2 — Visibility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Q2–Q3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SIEM centralization, EDR deployment, third-party risk register, logging standards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Phase 3 — Resilience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Q3–Q4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Incident response plan, tabletop exercises, backup/DR validation, retainer contracts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&amp; Security 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Phase 4 — Maturity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Threat hunting program, red team exercises, automation (SOAR), metrics program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CISO Office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Governance &amp; Metrics</w:t>
      </w:r>
    </w:p>
    <w:p>
      <w:pPr>
        <w:spacing w:after="160"/>
      </w:pPr>
      <w:r>
        <w:rPr>
          <w:sz w:val="22"/>
          <w:szCs w:val="22"/>
        </w:rPr>
        <w:t xml:space="preserve">Program performance is reported monthly to the Cybersecurity Steering Committee and quarterly to the board risk committee, using the metrics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680"/>
        <w:gridCol w:w="20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Mean time to detect (MTTD)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24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Mean time to respond (MTTR)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4 hours (critical)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 compliance (critical/high)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95% within SLA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MFA coverage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 of privileged &amp; remote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Phishing simulation click rate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Tabletop exercises completed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2 per 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</w:t>
            </w:r>
          </w:p>
        </w:tc>
      </w:tr>
    </w:tbl>
    <w:p>
      <w:pPr>
        <w:spacing w:before="240"/>
      </w:pPr>
    </w:p>
    <w:p>
      <w:pPr>
        <w:spacing w:after="160"/>
      </w:pPr>
      <w:r>
        <w:rPr>
          <w:sz w:val="22"/>
          <w:szCs w:val="22"/>
        </w:rPr>
        <w:t xml:space="preserve">This is a sample document for demonstration purposes only and does not represent an actual organizational assessment or commitment.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Enterprise Cybersecurity Strategy</w:t>
    </w:r>
    <w:r>
      <w:rPr>
        <w:color w:val="595959"/>
        <w:sz w:val="16"/>
        <w:szCs w:val="16"/>
      </w:rPr>
      <w:t xml:space="preserve">	Example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0"/>
      <w:jc w:val="center"/>
    </w:pPr>
    <w:rPr>
      <w:rFonts w:ascii="Arial" w:cs="Arial" w:eastAsia="Arial" w:hAnsi="Arial"/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2026-07-04T15:36:01.213Z</dcterms:created>
  <dcterms:modified xsi:type="dcterms:W3CDTF">2026-07-04T15:36:01.214Z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