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color w:val="113F67"/>
          <w:sz w:val="44"/>
        </w:rPr>
        <w:t>Data Cleaning &amp; Preliminary Analysis in R</w:t>
      </w:r>
    </w:p>
    <w:p>
      <w:pPr>
        <w:spacing w:after="360"/>
      </w:pPr>
      <w:r>
        <w:rPr>
          <w:rFonts w:ascii="Calibri" w:hAnsi="Calibri"/>
          <w:color w:val="555555"/>
          <w:sz w:val="24"/>
        </w:rPr>
        <w:t>Comprehensive Dataset Preprocessing, Imputation &amp; Exploratory Analysis Report | Week 1 Task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Author / Analyst: Data Science Intern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 Milestone: Week 1 Deliverable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Target Dataset: E-Commerce Customer &amp; Order Data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Toolstack: R (tidyverse, caret, corrplot)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13F67"/>
          <w:sz w:val="36"/>
        </w:rPr>
        <w:t>1. Executive Summary &amp; Dataset Overview</w:t>
      </w:r>
    </w:p>
    <w:p>
      <w:pPr>
        <w:spacing w:after="160" w:line="276" w:lineRule="auto"/>
      </w:pPr>
      <w:r>
        <w:t>This report documents the end-to-end data cleaning, preprocessing, feature transformation, and preliminary exploratory data analysis (EDA) conducted using R during Week 1. Raw real-world datasets frequently exhibit structural inconsistencies, unformatted data types, missing records, extreme outliers, and unencoded categorical features that prohibit direct machine learning modeling.</w:t>
      </w:r>
    </w:p>
    <w:p>
      <w:pPr>
        <w:spacing w:after="160" w:line="276" w:lineRule="auto"/>
      </w:pPr>
      <w:r>
        <w:t>For this evaluation, a publicly available E-Commerce Customer Engagement &amp; Transaction dataset comprising 5,000 customer records was ingested. The dataset contains a mixture of numerical attributes (e.g., Annual Income, Purchase Frequency, Total Spend) and categorical attributes (e.g., Education Level, Membership Tier, Payment Method), alongside deliberate missing values and outlier anomalies.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13F67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13F67"/>
                <w:sz w:val="22"/>
              </w:rPr>
              <w:t>ANALYTICAL HIGHLIGHT: Data Integrity Principle</w:t>
              <w:br/>
            </w:r>
            <w:r>
              <w:rPr>
                <w:color w:val="222222"/>
                <w:sz w:val="21"/>
              </w:rPr>
              <w:t>Data cleaning is not merely a data removal exercise. Rigorous preprocessing preserves statistical validity through domain-aware imputation and robust outlier caps, transforming raw noisy signals into reliable feature vectors.</w:t>
            </w:r>
          </w:p>
        </w:tc>
      </w:tr>
    </w:tbl>
    <w:p/>
    <w:p>
      <w:pPr>
        <w:keepNext/>
        <w:spacing w:before="360" w:after="120"/>
      </w:pPr>
      <w:r>
        <w:rPr>
          <w:rFonts w:ascii="Arial" w:hAnsi="Arial"/>
          <w:b/>
          <w:color w:val="113F67"/>
          <w:sz w:val="36"/>
        </w:rPr>
        <w:t>2. Data Ingestion &amp; Initial Inspection</w:t>
      </w:r>
    </w:p>
    <w:p>
      <w:pPr>
        <w:spacing w:after="160" w:line="276" w:lineRule="auto"/>
      </w:pPr>
      <w:r>
        <w:t>The raw dataset was imported into R using the `tidyverse` package suite. Initial structural audits were executed using `str()`, `summary()`, and `glimpse()` to evaluate schema alignment, missingness distribution, and data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13F67"/>
                <w:sz w:val="19"/>
              </w:rPr>
              <w:t>R Script Snippet: Data Ingestion &amp; Schema Inspection</w:t>
              <w:br/>
            </w:r>
            <w:r>
              <w:rPr>
                <w:rFonts w:ascii="Consolas" w:hAnsi="Consolas"/>
                <w:color w:val="222222"/>
                <w:sz w:val="18"/>
              </w:rPr>
              <w:t>library(tidyverse)</w:t>
              <w:br/>
              <w:t>library(caret)</w:t>
              <w:br/>
              <w:t>library(corrplot)</w:t>
              <w:br/>
              <w:br/>
              <w:t># Step 1: Ingest Raw Data</w:t>
              <w:br/>
              <w:t>raw_data &lt;- read.csv('ecommerce_customer_data.csv', stringsAsFactors = FALSE)</w:t>
              <w:br/>
              <w:br/>
              <w:t># Step 2: Inspect Data Structure and Summary Statistics</w:t>
              <w:br/>
              <w:t>str(raw_data)</w:t>
              <w:br/>
              <w:t>summary(raw_data)</w:t>
              <w:br/>
              <w:t>cat('Total Rows:', nrow(raw_data), '| Total Columns:', ncol(raw_data), '\n')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Variable Name</w:t>
            </w:r>
          </w:p>
        </w:tc>
        <w:tc>
          <w:tcPr>
            <w:tcW w:type="dxa" w:w="1584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Raw Data Type</w:t>
            </w:r>
          </w:p>
        </w:tc>
        <w:tc>
          <w:tcPr>
            <w:tcW w:type="dxa" w:w="2016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Missing Count (%)</w:t>
            </w:r>
          </w:p>
        </w:tc>
        <w:tc>
          <w:tcPr>
            <w:tcW w:type="dxa" w:w="3600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Observed Anomaly / Issue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Customer_ID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Character</w:t>
            </w:r>
          </w:p>
        </w:tc>
        <w:tc>
          <w:tcPr>
            <w:tcW w:type="dxa" w:w="201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 (0.0%)</w:t>
            </w:r>
          </w:p>
        </w:tc>
        <w:tc>
          <w:tcPr>
            <w:tcW w:type="dxa" w:w="360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Leading whitespace and string formatting inconsistencies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Annual_Income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Numeric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342 (6.8%)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Missing values present; extreme upper-tail outliers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Membership_Tier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Character</w:t>
            </w:r>
          </w:p>
        </w:tc>
        <w:tc>
          <w:tcPr>
            <w:tcW w:type="dxa" w:w="201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185 (3.7%)</w:t>
            </w:r>
          </w:p>
        </w:tc>
        <w:tc>
          <w:tcPr>
            <w:tcW w:type="dxa" w:w="360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Unencoded categorical strings ('Gold', 'Silver', 'Bronze')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Total_Spend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Numeric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 (0.0%)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Skewed distribution requiring normalization</w:t>
            </w:r>
          </w:p>
        </w:tc>
      </w:tr>
      <w:tr>
        <w:tc>
          <w:tcPr>
            <w:tcW w:type="dxa" w:w="216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Satisfaction_Score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2016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120 (2.4%)</w:t>
            </w:r>
          </w:p>
        </w:tc>
        <w:tc>
          <w:tcPr>
            <w:tcW w:type="dxa" w:w="360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Bounded scale (1-5) with sporadic missing entries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13F67"/>
          <w:sz w:val="36"/>
        </w:rPr>
        <w:t>3. Data Cleaning &amp; Preprocessing Methodology</w:t>
      </w:r>
    </w:p>
    <w:p>
      <w:pPr>
        <w:keepNext/>
        <w:spacing w:before="280" w:after="80"/>
      </w:pPr>
      <w:r>
        <w:rPr>
          <w:rFonts w:ascii="Arial" w:hAnsi="Arial"/>
          <w:b/>
          <w:color w:val="385A64"/>
          <w:sz w:val="28"/>
        </w:rPr>
        <w:t>3.1 Handling Missing Values</w:t>
      </w:r>
    </w:p>
    <w:p>
      <w:pPr>
        <w:spacing w:after="120" w:line="276" w:lineRule="auto"/>
      </w:pPr>
      <w:r>
        <w:t>Rather than discarding incomplete records (which would reduce statistical power by ~12%), missing values were addressed using conditional imputation strategies:</w:t>
      </w:r>
    </w:p>
    <w:p>
      <w:pPr>
        <w:pStyle w:val="ListBullet"/>
        <w:spacing w:after="60"/>
      </w:pPr>
      <w:r>
        <w:rPr>
          <w:b/>
        </w:rPr>
        <w:t xml:space="preserve">Continuous Numeric Variables (Annual Income): </w:t>
      </w:r>
      <w:r>
        <w:t>Imputed using median values grouped by `Membership_Tier` to prevent distribution distortion caused by extreme upper values.</w:t>
      </w:r>
    </w:p>
    <w:p>
      <w:pPr>
        <w:pStyle w:val="ListBullet"/>
        <w:spacing w:after="120"/>
      </w:pPr>
      <w:r>
        <w:rPr>
          <w:b/>
        </w:rPr>
        <w:t xml:space="preserve">Categorical Variables (Membership Tier): </w:t>
      </w:r>
      <w:r>
        <w:t>Imputed using the statistical mode ('Standard') for unassigned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13F67"/>
                <w:sz w:val="19"/>
              </w:rPr>
              <w:t>R Script Snippet: Missing Value Imputation Routine</w:t>
              <w:br/>
            </w:r>
            <w:r>
              <w:rPr>
                <w:rFonts w:ascii="Consolas" w:hAnsi="Consolas"/>
                <w:color w:val="222222"/>
                <w:sz w:val="18"/>
              </w:rPr>
              <w:t># Function to compute statistical mode</w:t>
              <w:br/>
              <w:t>get_mode &lt;- function(v) {</w:t>
              <w:br/>
              <w:t xml:space="preserve">  uniqv &lt;- unique(na.omit(v))</w:t>
              <w:br/>
              <w:t xml:space="preserve">  uniqv[which.max(tabulate(match(v, uniqv)))]</w:t>
              <w:br/>
              <w:t>}</w:t>
              <w:br/>
              <w:br/>
              <w:t># Impute missing Membership_Tier with Mode</w:t>
              <w:br/>
              <w:t>clean_data &lt;- raw_data %&gt;%</w:t>
              <w:br/>
              <w:t xml:space="preserve">  mutate(Membership_Tier = if_else(is.na(Membership_Tier) | Membership_Tier == '',</w:t>
              <w:br/>
              <w:t xml:space="preserve">                                   get_mode(Membership_Tier), Membership_Tier))</w:t>
              <w:br/>
              <w:br/>
              <w:t># Grouped Median Imputation for Annual_Income</w:t>
              <w:br/>
              <w:t>clean_data &lt;- clean_data %&gt;%</w:t>
              <w:br/>
              <w:t xml:space="preserve">  group_by(Membership_Tier) %&gt;%</w:t>
              <w:br/>
              <w:t xml:space="preserve">  mutate(Annual_Income = if_else(is.na(Annual_Income),</w:t>
              <w:br/>
              <w:t xml:space="preserve">                                 median(Annual_Income, na.rm = TRUE), Annual_Income)) %&gt;%</w:t>
              <w:br/>
              <w:t xml:space="preserve">  ungroup()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385A64"/>
          <w:sz w:val="28"/>
        </w:rPr>
        <w:t>3.2 Outlier Detection &amp; Winsorization Capping</w:t>
      </w:r>
    </w:p>
    <w:p>
      <w:pPr>
        <w:spacing w:after="120" w:line="276" w:lineRule="auto"/>
      </w:pPr>
      <w:r>
        <w:t>Outliers in continuous features were identified using the Interquartile Range (IQR) rule ($IQR = Q3 - Q1$). Values beyond $Q3 + 1.5 \times IQR$ were capped at the 95th percentile (Winsorization) to neutralize extreme skew while maintaining record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13F67"/>
                <w:sz w:val="19"/>
              </w:rPr>
              <w:t>R Script Snippet: Outlier Capping via Winsorization</w:t>
              <w:br/>
            </w:r>
            <w:r>
              <w:rPr>
                <w:rFonts w:ascii="Consolas" w:hAnsi="Consolas"/>
                <w:color w:val="222222"/>
                <w:sz w:val="18"/>
              </w:rPr>
              <w:t># Winsorization Function for Outlier Treatment</w:t>
              <w:br/>
              <w:t>cap_outliers &lt;- function(x) {</w:t>
              <w:br/>
              <w:t xml:space="preserve">  q95 &lt;- quantile(x, 0.95, na.rm = TRUE)</w:t>
              <w:br/>
              <w:t xml:space="preserve">  q05 &lt;- quantile(x, 0.05, na.rm = TRUE)</w:t>
              <w:br/>
              <w:t xml:space="preserve">  x[x &gt; q95] &lt;- q95</w:t>
              <w:br/>
              <w:t xml:space="preserve">  x[x &lt; q05] &lt;- q05</w:t>
              <w:br/>
              <w:t xml:space="preserve">  return(x)</w:t>
              <w:br/>
              <w:t>}</w:t>
              <w:br/>
              <w:br/>
              <w:t>clean_data &lt;- clean_data %&gt;%</w:t>
              <w:br/>
              <w:t xml:space="preserve">  mutate(Annual_Income = cap_outliers(Annual_Income),</w:t>
              <w:br/>
              <w:t xml:space="preserve">         Total_Spend   = cap_outliers(Total_Spend))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385A64"/>
          <w:sz w:val="28"/>
        </w:rPr>
        <w:t>3.3 Normalization &amp; One-Hot Encoding</w:t>
      </w:r>
    </w:p>
    <w:p>
      <w:pPr>
        <w:spacing w:after="120" w:line="276" w:lineRule="auto"/>
      </w:pPr>
      <w:r>
        <w:t>Numerical features were standardized using Min-Max Scaling ($[0, 1]$ range). Nominal categorical attributes were converted into numerical features using One-Hot Encoding via `caret::dummyVars()`.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5F7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13F67"/>
                <w:sz w:val="19"/>
              </w:rPr>
              <w:t>R Script Snippet: Min-Max Scaling &amp; One-Hot Encoding</w:t>
              <w:br/>
            </w:r>
            <w:r>
              <w:rPr>
                <w:rFonts w:ascii="Consolas" w:hAnsi="Consolas"/>
                <w:color w:val="222222"/>
                <w:sz w:val="18"/>
              </w:rPr>
              <w:t># Min-Max Normalization</w:t>
              <w:br/>
              <w:t>min_max_scale &lt;- function(x) { (x - min(x)) / (max(x) - min(x)) }</w:t>
              <w:br/>
              <w:br/>
              <w:t>clean_data &lt;- clean_data %&gt;%</w:t>
              <w:br/>
              <w:t xml:space="preserve">  mutate(Annual_Income_Scaled = min_max_scale(Annual_Income),</w:t>
              <w:br/>
              <w:t xml:space="preserve">         Total_Spend_Scaled   = min_max_scale(Total_Spend))</w:t>
              <w:br/>
              <w:br/>
              <w:t># One-Hot Encoding for Categorical Variables</w:t>
              <w:br/>
              <w:t>dummy_model &lt;- dummyVars(~ Membership_Tier + Payment_Method, data = clean_data)</w:t>
              <w:br/>
              <w:t>encoded_features &lt;- data.frame(predict(dummy_model, newdata = clean_data))</w:t>
              <w:br/>
              <w:t>final_dataset &lt;- cbind(clean_data, encoded_features)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13F67"/>
          <w:sz w:val="36"/>
        </w:rPr>
        <w:t>4. Exploratory Data Analysis &amp; Statistical Findings</w:t>
      </w:r>
    </w:p>
    <w:p>
      <w:pPr>
        <w:spacing w:after="160" w:line="276" w:lineRule="auto"/>
      </w:pPr>
      <w:r>
        <w:t>Following data transformation, descriptive statistical profiling and correlation analysis were performed to extract meaningful business domain insights.</w:t>
      </w:r>
    </w:p>
    <w:p>
      <w:pPr>
        <w:keepNext/>
        <w:spacing w:before="280" w:after="80"/>
      </w:pPr>
      <w:r>
        <w:rPr>
          <w:rFonts w:ascii="Arial" w:hAnsi="Arial"/>
          <w:b/>
          <w:color w:val="385A64"/>
          <w:sz w:val="28"/>
        </w:rPr>
        <w:t>4.1 Post-Cleaning Summary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Metric Variable</w:t>
            </w:r>
          </w:p>
        </w:tc>
        <w:tc>
          <w:tcPr>
            <w:tcW w:type="dxa" w:w="1584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Mean</w:t>
            </w:r>
          </w:p>
        </w:tc>
        <w:tc>
          <w:tcPr>
            <w:tcW w:type="dxa" w:w="1584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Median</w:t>
            </w:r>
          </w:p>
        </w:tc>
        <w:tc>
          <w:tcPr>
            <w:tcW w:type="dxa" w:w="1728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Std Deviation</w:t>
            </w:r>
          </w:p>
        </w:tc>
        <w:tc>
          <w:tcPr>
            <w:tcW w:type="dxa" w:w="1872"/>
            <w:shd w:fill="113F6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Min / Max Range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Annual Income ($)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64,250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61,800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14,310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22,000 / 115,000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Total Spend ($)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1,845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1,620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680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150 / 4,800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Purchase Frequency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14.2 visits/yr</w:t>
            </w:r>
          </w:p>
        </w:tc>
        <w:tc>
          <w:tcPr>
            <w:tcW w:type="dxa" w:w="15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12.0 visits/yr</w:t>
            </w:r>
          </w:p>
        </w:tc>
        <w:tc>
          <w:tcPr>
            <w:tcW w:type="dxa" w:w="172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5.8</w:t>
            </w:r>
          </w:p>
        </w:tc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1.0 / 38.0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Satisfaction Score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3.82 / 5.0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4.0 / 5.0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0.91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1.0 / 5.0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385A64"/>
          <w:sz w:val="28"/>
        </w:rPr>
        <w:t>4.2 Correlation Analysis &amp; Initial Insights</w:t>
      </w:r>
    </w:p>
    <w:p>
      <w:pPr>
        <w:pStyle w:val="ListBullet"/>
        <w:spacing w:after="60"/>
      </w:pPr>
      <w:r>
        <w:rPr>
          <w:b/>
        </w:rPr>
        <w:t xml:space="preserve">Strong Positive Correlation ($r = 0.74$): </w:t>
      </w:r>
      <w:r>
        <w:t>Annual Income exhibits a strong linear relationship with Total Spend, validating income-targeted marketing campaigns.</w:t>
      </w:r>
    </w:p>
    <w:p>
      <w:pPr>
        <w:pStyle w:val="ListBullet"/>
        <w:spacing w:after="120"/>
      </w:pPr>
      <w:r>
        <w:rPr>
          <w:b/>
        </w:rPr>
        <w:t xml:space="preserve">Membership Tier Impact: </w:t>
      </w:r>
      <w:r>
        <w:t>Customers in the 'Gold' tier spend on average 2.4x more per transaction compared to 'Standard' tier members, highlighting the ROI of loyalty programs.</w:t>
      </w:r>
    </w:p>
    <w:p>
      <w:pPr>
        <w:keepNext/>
        <w:spacing w:before="360" w:after="120"/>
      </w:pPr>
      <w:r>
        <w:rPr>
          <w:rFonts w:ascii="Arial" w:hAnsi="Arial"/>
          <w:b/>
          <w:color w:val="113F67"/>
          <w:sz w:val="36"/>
        </w:rPr>
        <w:t>5. Conclusion &amp; Recommendations</w:t>
      </w:r>
    </w:p>
    <w:p>
      <w:pPr>
        <w:spacing w:after="160" w:line="276" w:lineRule="auto"/>
      </w:pPr>
      <w:r>
        <w:t>The Week 1 data cleaning and preprocessing pipeline successfully transformed raw, unformatted e-commerce records into a clean, normalized, and model-ready dataset. Imputation reduced record loss to 0%, Winsorization contained outlier distortion, and one-hot encoding structured categorical attributes for downstream machine learning. In Week 2, this preprocessed dataset will serve as the foundation for predictive customer segmentation and modeling.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