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8"/>
        </w:rPr>
        <w:t>Virtual Technical Support Evaluation Report</w:t>
      </w:r>
    </w:p>
    <w:p>
      <w:pPr>
        <w:spacing w:after="360"/>
      </w:pPr>
      <w:r>
        <w:rPr>
          <w:rFonts w:ascii="Calibri" w:hAnsi="Calibri"/>
          <w:color w:val="555555"/>
          <w:sz w:val="26"/>
        </w:rPr>
        <w:t>Simulated Interaction Analysis &amp; Protocol Enhancement Plan | Week 3 Task</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F0F4F8"/>
            <w:tcMar>
              <w:top w:w="80" w:type="dxa"/>
              <w:bottom w:w="80" w:type="dxa"/>
              <w:left w:w="120" w:type="dxa"/>
              <w:right w:w="120" w:type="dxa"/>
            </w:tcMar>
          </w:tcPr>
          <w:p>
            <w:r>
              <w:rPr>
                <w:b/>
              </w:rPr>
              <w:t>Author / Intern: Technical Support Intern</w:t>
            </w:r>
          </w:p>
        </w:tc>
        <w:tc>
          <w:tcPr>
            <w:tcW w:type="dxa" w:w="4680"/>
            <w:shd w:fill="F0F4F8"/>
            <w:tcMar>
              <w:top w:w="80" w:type="dxa"/>
              <w:bottom w:w="80" w:type="dxa"/>
              <w:left w:w="120" w:type="dxa"/>
              <w:right w:w="120" w:type="dxa"/>
            </w:tcMar>
          </w:tcPr>
          <w:p>
            <w:r>
              <w:rPr>
                <w:b/>
              </w:rPr>
              <w:t>Evaluation Period: Week 3</w:t>
            </w:r>
          </w:p>
        </w:tc>
      </w:tr>
      <w:tr>
        <w:tc>
          <w:tcPr>
            <w:tcW w:type="dxa" w:w="4680"/>
            <w:shd w:fill="F0F4F8"/>
            <w:tcMar>
              <w:top w:w="80" w:type="dxa"/>
              <w:bottom w:w="80" w:type="dxa"/>
              <w:left w:w="120" w:type="dxa"/>
              <w:right w:w="120" w:type="dxa"/>
            </w:tcMar>
          </w:tcPr>
          <w:p>
            <w:r>
              <w:rPr>
                <w:b/>
              </w:rPr>
              <w:t>Target System: Virtual Technical Support Desk</w:t>
            </w:r>
          </w:p>
        </w:tc>
        <w:tc>
          <w:tcPr>
            <w:tcW w:type="dxa" w:w="4680"/>
            <w:shd w:fill="F0F4F8"/>
            <w:tcMar>
              <w:top w:w="80" w:type="dxa"/>
              <w:bottom w:w="80" w:type="dxa"/>
              <w:left w:w="120" w:type="dxa"/>
              <w:right w:w="120" w:type="dxa"/>
            </w:tcMar>
          </w:tcPr>
          <w:p>
            <w:r>
              <w:rPr>
                <w:b/>
              </w:rPr>
              <w:t>Document Version: 1.0 (Final)</w:t>
            </w:r>
          </w:p>
        </w:tc>
      </w:tr>
    </w:tbl>
    <w:p>
      <w:pPr>
        <w:spacing w:after="240"/>
      </w:pPr>
    </w:p>
    <w:p>
      <w:pPr>
        <w:keepNext/>
        <w:spacing w:before="360" w:after="120"/>
      </w:pPr>
      <w:r>
        <w:rPr>
          <w:rFonts w:ascii="Arial" w:hAnsi="Arial"/>
          <w:b/>
          <w:color w:val="1B365D"/>
          <w:sz w:val="36"/>
        </w:rPr>
        <w:t>1. Executive Summary</w:t>
      </w:r>
    </w:p>
    <w:p>
      <w:pPr>
        <w:spacing w:after="160" w:line="276" w:lineRule="auto"/>
      </w:pPr>
      <w:r>
        <w:t>This evaluation report presents a comprehensive review of virtual computer support services based on controlled, simulated user interactions conducted during Week 3. The primary objective is to evaluate how remote IT support procedures operate in real-world technical scenarios, identify procedural friction points, and propose actionable enhancements to improve support efficacy, response times, and overall user satisfaction.</w:t>
      </w:r>
    </w:p>
    <w:p>
      <w:pPr>
        <w:spacing w:after="160" w:line="276" w:lineRule="auto"/>
      </w:pPr>
      <w:r>
        <w:t>Through rigorous role-play simulations of two prevalent remote support challenges—a VPN authentication/connectivity failure and a software update crash leading to operating system boot loops—this study critically evaluates first-contact resolution, communication protocols, diagnostic methodologies, and escalation workflows. The findings reveal key operational strengths, such as strong baseline diagnostic scripting, alongside critical bottlenecks in self-service enablement, knowledge management, and user reassurance during severe system failures.</w:t>
      </w: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left w:val="single" w:sz="24" w:space="0" w:color="1B365D"/>
              <w:top w:val="none"/>
              <w:bottom w:val="none"/>
              <w:right w:val="none"/>
            </w:tcBorders>
          </w:tcPr>
          <w:p>
            <w:pPr>
              <w:spacing w:after="80"/>
            </w:pPr>
            <w:r>
              <w:rPr>
                <w:b/>
                <w:color w:val="1B365D"/>
                <w:sz w:val="22"/>
              </w:rPr>
              <w:t>KEY TAKEAWAY / SPOTLIGHT: Bridge Between Theory and Practice</w:t>
              <w:br/>
            </w:r>
            <w:r>
              <w:rPr>
                <w:color w:val="222222"/>
                <w:sz w:val="21"/>
              </w:rPr>
              <w:t>Simulating real-world interactions converts abstract IT support standards (such as ITIL event management) into observable metrics. Bridging theoretical protocols with practical execution exposes latent process gaps that standard automated ticketing analytics frequently miss.</w:t>
            </w:r>
          </w:p>
        </w:tc>
      </w:tr>
    </w:tbl>
    <w:p/>
    <w:p>
      <w:pPr>
        <w:keepNext/>
        <w:spacing w:before="360" w:after="120"/>
      </w:pPr>
      <w:r>
        <w:rPr>
          <w:rFonts w:ascii="Arial" w:hAnsi="Arial"/>
          <w:b/>
          <w:color w:val="1B365D"/>
          <w:sz w:val="36"/>
        </w:rPr>
        <w:t>2. Simulation Methodology &amp; Environment</w:t>
      </w:r>
    </w:p>
    <w:p>
      <w:pPr>
        <w:spacing w:after="160" w:line="276" w:lineRule="auto"/>
      </w:pPr>
      <w:r>
        <w:t>To ensure high realism and empirical validity, the simulation framework was structured around standardized remote support workflows, realistic user personas, and public helpdesk baseline metrics.</w:t>
      </w:r>
    </w:p>
    <w:p>
      <w:pPr>
        <w:keepNext/>
        <w:spacing w:before="280" w:after="80"/>
      </w:pPr>
      <w:r>
        <w:rPr>
          <w:rFonts w:ascii="Arial" w:hAnsi="Arial"/>
          <w:b/>
          <w:color w:val="006699"/>
          <w:sz w:val="28"/>
        </w:rPr>
        <w:t>2.1 Simulation Setup &amp; Roles</w:t>
      </w:r>
    </w:p>
    <w:p>
      <w:pPr>
        <w:spacing w:after="120" w:line="276" w:lineRule="auto"/>
      </w:pPr>
      <w:r>
        <w:t>The interaction simulations were executed using a multi-role pairing model, where participants alternated between two primary personas:</w:t>
      </w:r>
    </w:p>
    <w:p>
      <w:pPr>
        <w:pStyle w:val="ListBullet"/>
        <w:spacing w:after="60"/>
      </w:pPr>
      <w:r>
        <w:rPr>
          <w:b/>
        </w:rPr>
        <w:t xml:space="preserve">Simulated User Persona: </w:t>
      </w:r>
      <w:r>
        <w:t>Ranging from non-technical remote workers experiencing urgency and stress to mid-level tech users seeking rapid resolution. Behaviors included incomplete problem descriptions, emotional frustration, and misinterpretation of technical prompts.</w:t>
      </w:r>
    </w:p>
    <w:p>
      <w:pPr>
        <w:pStyle w:val="ListBullet"/>
        <w:spacing w:after="160"/>
      </w:pPr>
      <w:r>
        <w:rPr>
          <w:b/>
        </w:rPr>
        <w:t xml:space="preserve">Virtual Support Specialist Persona: </w:t>
      </w:r>
      <w:r>
        <w:t>Adhering strictly to standard Tier-1 and Tier-2 operating procedure flowcharts, utilizing remote desktop management tools, knowledge base lookup engines, and standard ticketing channels (chat, email, and voice-over-IP).</w:t>
      </w:r>
    </w:p>
    <w:p>
      <w:pPr>
        <w:keepNext/>
        <w:spacing w:before="280" w:after="80"/>
      </w:pPr>
      <w:r>
        <w:rPr>
          <w:rFonts w:ascii="Arial" w:hAnsi="Arial"/>
          <w:b/>
          <w:color w:val="006699"/>
          <w:sz w:val="28"/>
        </w:rPr>
        <w:t>2.2 Evaluation Criteria &amp; Metrics</w:t>
      </w:r>
    </w:p>
    <w:p>
      <w:pPr>
        <w:spacing w:after="160" w:line="276" w:lineRule="auto"/>
      </w:pPr>
      <w:r>
        <w:t>Simulated interactions were audited against four primary performance categories: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880"/>
            <w:shd w:fill="1B365D"/>
            <w:tcMar>
              <w:top w:w="100" w:type="dxa"/>
              <w:bottom w:w="100" w:type="dxa"/>
              <w:left w:w="120" w:type="dxa"/>
              <w:right w:w="120" w:type="dxa"/>
            </w:tcMar>
          </w:tcPr>
          <w:p>
            <w:r>
              <w:rPr>
                <w:b/>
                <w:color w:val="FFFFFF"/>
              </w:rPr>
              <w:t>Metric Category</w:t>
            </w:r>
          </w:p>
        </w:tc>
        <w:tc>
          <w:tcPr>
            <w:tcW w:type="dxa" w:w="4320"/>
            <w:shd w:fill="1B365D"/>
            <w:tcMar>
              <w:top w:w="100" w:type="dxa"/>
              <w:bottom w:w="100" w:type="dxa"/>
              <w:left w:w="120" w:type="dxa"/>
              <w:right w:w="120" w:type="dxa"/>
            </w:tcMar>
          </w:tcPr>
          <w:p>
            <w:r>
              <w:rPr>
                <w:b/>
                <w:color w:val="FFFFFF"/>
              </w:rPr>
              <w:t>Focus Area</w:t>
            </w:r>
          </w:p>
        </w:tc>
        <w:tc>
          <w:tcPr>
            <w:tcW w:type="dxa" w:w="2160"/>
            <w:shd w:fill="1B365D"/>
            <w:tcMar>
              <w:top w:w="100" w:type="dxa"/>
              <w:bottom w:w="100" w:type="dxa"/>
              <w:left w:w="120" w:type="dxa"/>
              <w:right w:w="120" w:type="dxa"/>
            </w:tcMar>
          </w:tcPr>
          <w:p>
            <w:r>
              <w:rPr>
                <w:b/>
                <w:color w:val="FFFFFF"/>
              </w:rPr>
              <w:t>Target Benchmark</w:t>
            </w:r>
          </w:p>
        </w:tc>
      </w:tr>
      <w:tr>
        <w:tc>
          <w:tcPr>
            <w:tcW w:type="dxa" w:w="2880"/>
            <w:shd w:fill="F0F4F8"/>
            <w:tcMar>
              <w:top w:w="80" w:type="dxa"/>
              <w:bottom w:w="80" w:type="dxa"/>
              <w:left w:w="120" w:type="dxa"/>
              <w:right w:w="120" w:type="dxa"/>
            </w:tcMar>
          </w:tcPr>
          <w:p>
            <w:r>
              <w:t>First-Contact Resolution (FCR)</w:t>
            </w:r>
          </w:p>
        </w:tc>
        <w:tc>
          <w:tcPr>
            <w:tcW w:type="dxa" w:w="4320"/>
            <w:shd w:fill="F0F4F8"/>
            <w:tcMar>
              <w:top w:w="80" w:type="dxa"/>
              <w:bottom w:w="80" w:type="dxa"/>
              <w:left w:w="120" w:type="dxa"/>
              <w:right w:w="120" w:type="dxa"/>
            </w:tcMar>
          </w:tcPr>
          <w:p>
            <w:r>
              <w:t>Ability to resolve issues within the initial contact session without escalation.</w:t>
            </w:r>
          </w:p>
        </w:tc>
        <w:tc>
          <w:tcPr>
            <w:tcW w:type="dxa" w:w="2160"/>
            <w:shd w:fill="F0F4F8"/>
            <w:tcMar>
              <w:top w:w="80" w:type="dxa"/>
              <w:bottom w:w="80" w:type="dxa"/>
              <w:left w:w="120" w:type="dxa"/>
              <w:right w:w="120" w:type="dxa"/>
            </w:tcMar>
          </w:tcPr>
          <w:p>
            <w:r>
              <w:t>≥ 75% for Tier-1 scenarios</w:t>
            </w:r>
          </w:p>
        </w:tc>
      </w:tr>
      <w:tr>
        <w:tc>
          <w:tcPr>
            <w:tcW w:type="dxa" w:w="2880"/>
            <w:shd w:fill="FFFFFF"/>
            <w:tcMar>
              <w:top w:w="80" w:type="dxa"/>
              <w:bottom w:w="80" w:type="dxa"/>
              <w:left w:w="120" w:type="dxa"/>
              <w:right w:w="120" w:type="dxa"/>
            </w:tcMar>
          </w:tcPr>
          <w:p>
            <w:r>
              <w:t>Mean Time to Resolve (MTTR)</w:t>
            </w:r>
          </w:p>
        </w:tc>
        <w:tc>
          <w:tcPr>
            <w:tcW w:type="dxa" w:w="4320"/>
            <w:shd w:fill="FFFFFF"/>
            <w:tcMar>
              <w:top w:w="80" w:type="dxa"/>
              <w:bottom w:w="80" w:type="dxa"/>
              <w:left w:w="120" w:type="dxa"/>
              <w:right w:w="120" w:type="dxa"/>
            </w:tcMar>
          </w:tcPr>
          <w:p>
            <w:r>
              <w:t>Total elapsed time from ticket initiation to verified resolution.</w:t>
            </w:r>
          </w:p>
        </w:tc>
        <w:tc>
          <w:tcPr>
            <w:tcW w:type="dxa" w:w="2160"/>
            <w:shd w:fill="FFFFFF"/>
            <w:tcMar>
              <w:top w:w="80" w:type="dxa"/>
              <w:bottom w:w="80" w:type="dxa"/>
              <w:left w:w="120" w:type="dxa"/>
              <w:right w:w="120" w:type="dxa"/>
            </w:tcMar>
          </w:tcPr>
          <w:p>
            <w:r>
              <w:t>&lt; 25 minutes for standard issues</w:t>
            </w:r>
          </w:p>
        </w:tc>
      </w:tr>
      <w:tr>
        <w:tc>
          <w:tcPr>
            <w:tcW w:type="dxa" w:w="2880"/>
            <w:shd w:fill="F0F4F8"/>
            <w:tcMar>
              <w:top w:w="80" w:type="dxa"/>
              <w:bottom w:w="80" w:type="dxa"/>
              <w:left w:w="120" w:type="dxa"/>
              <w:right w:w="120" w:type="dxa"/>
            </w:tcMar>
          </w:tcPr>
          <w:p>
            <w:r>
              <w:t>Diagnostic Accuracy</w:t>
            </w:r>
          </w:p>
        </w:tc>
        <w:tc>
          <w:tcPr>
            <w:tcW w:type="dxa" w:w="4320"/>
            <w:shd w:fill="F0F4F8"/>
            <w:tcMar>
              <w:top w:w="80" w:type="dxa"/>
              <w:bottom w:w="80" w:type="dxa"/>
              <w:left w:w="120" w:type="dxa"/>
              <w:right w:w="120" w:type="dxa"/>
            </w:tcMar>
          </w:tcPr>
          <w:p>
            <w:r>
              <w:t>Precision in identifying root cause vs. trial-and-error troubleshooting.</w:t>
            </w:r>
          </w:p>
        </w:tc>
        <w:tc>
          <w:tcPr>
            <w:tcW w:type="dxa" w:w="2160"/>
            <w:shd w:fill="F0F4F8"/>
            <w:tcMar>
              <w:top w:w="80" w:type="dxa"/>
              <w:bottom w:w="80" w:type="dxa"/>
              <w:left w:w="120" w:type="dxa"/>
              <w:right w:w="120" w:type="dxa"/>
            </w:tcMar>
          </w:tcPr>
          <w:p>
            <w:r>
              <w:t>≥ 90% correct root cause path</w:t>
            </w:r>
          </w:p>
        </w:tc>
      </w:tr>
      <w:tr>
        <w:tc>
          <w:tcPr>
            <w:tcW w:type="dxa" w:w="2880"/>
            <w:shd w:fill="FFFFFF"/>
            <w:tcMar>
              <w:top w:w="80" w:type="dxa"/>
              <w:bottom w:w="80" w:type="dxa"/>
              <w:left w:w="120" w:type="dxa"/>
              <w:right w:w="120" w:type="dxa"/>
            </w:tcMar>
          </w:tcPr>
          <w:p>
            <w:r>
              <w:t>Communication Clarity</w:t>
            </w:r>
          </w:p>
        </w:tc>
        <w:tc>
          <w:tcPr>
            <w:tcW w:type="dxa" w:w="4320"/>
            <w:shd w:fill="FFFFFF"/>
            <w:tcMar>
              <w:top w:w="80" w:type="dxa"/>
              <w:bottom w:w="80" w:type="dxa"/>
              <w:left w:w="120" w:type="dxa"/>
              <w:right w:w="120" w:type="dxa"/>
            </w:tcMar>
          </w:tcPr>
          <w:p>
            <w:r>
              <w:t>Use of empathetic, non-jargon language and clear step-by-step guidance.</w:t>
            </w:r>
          </w:p>
        </w:tc>
        <w:tc>
          <w:tcPr>
            <w:tcW w:type="dxa" w:w="2160"/>
            <w:shd w:fill="FFFFFF"/>
            <w:tcMar>
              <w:top w:w="80" w:type="dxa"/>
              <w:bottom w:w="80" w:type="dxa"/>
              <w:left w:w="120" w:type="dxa"/>
              <w:right w:w="120" w:type="dxa"/>
            </w:tcMar>
          </w:tcPr>
          <w:p>
            <w:r>
              <w:t>≥ 4.5 / 5.0 Rating</w:t>
            </w:r>
          </w:p>
        </w:tc>
      </w:tr>
    </w:tbl>
    <w:p>
      <w:pPr>
        <w:spacing w:after="240"/>
      </w:pPr>
    </w:p>
    <w:p>
      <w:pPr>
        <w:keepNext/>
        <w:spacing w:before="360" w:after="120"/>
      </w:pPr>
      <w:r>
        <w:rPr>
          <w:rFonts w:ascii="Arial" w:hAnsi="Arial"/>
          <w:b/>
          <w:color w:val="1B365D"/>
          <w:sz w:val="36"/>
        </w:rPr>
        <w:t>3. Simulated Technical Support Case Studies</w:t>
      </w:r>
    </w:p>
    <w:p>
      <w:pPr>
        <w:keepNext/>
        <w:spacing w:before="280" w:after="80"/>
      </w:pPr>
      <w:r>
        <w:rPr>
          <w:rFonts w:ascii="Arial" w:hAnsi="Arial"/>
          <w:b/>
          <w:color w:val="006699"/>
          <w:sz w:val="28"/>
        </w:rPr>
        <w:t>Case Study 1: Remote VPN Connectivity &amp; Authentication Failure</w:t>
      </w:r>
    </w:p>
    <w:p>
      <w:pPr>
        <w:keepNext/>
        <w:spacing w:before="200" w:after="40"/>
      </w:pPr>
      <w:r>
        <w:rPr>
          <w:rFonts w:ascii="Arial" w:hAnsi="Arial"/>
          <w:b/>
          <w:color w:val="222222"/>
          <w:sz w:val="24"/>
        </w:rPr>
        <w:t>Scenario Overview &amp; Introduction</w:t>
      </w:r>
    </w:p>
    <w:p>
      <w:pPr>
        <w:spacing w:after="120" w:line="276" w:lineRule="auto"/>
      </w:pPr>
      <w:r>
        <w:t xml:space="preserve">A remote employee working on a tight deadline reports that their enterprise VPN client repeatedly fails during the authentication phase, displaying error message </w:t>
      </w:r>
      <w:r>
        <w:rPr>
          <w:i/>
        </w:rPr>
        <w:t>'TLS Handshake Failed / Gateway Unreachable (Error 800)'</w:t>
      </w:r>
      <w:r>
        <w:t>. The user is unable to access internal network shares or database servers.</w:t>
      </w:r>
    </w:p>
    <w:p>
      <w:pPr>
        <w:keepNext/>
        <w:spacing w:before="200" w:after="40"/>
      </w:pPr>
      <w:r>
        <w:rPr>
          <w:rFonts w:ascii="Arial" w:hAnsi="Arial"/>
          <w:b/>
          <w:color w:val="222222"/>
          <w:sz w:val="24"/>
        </w:rPr>
        <w:t>Expected Support Workflow</w:t>
      </w:r>
    </w:p>
    <w:p>
      <w:pPr>
        <w:spacing w:after="80" w:line="276" w:lineRule="auto"/>
      </w:pPr>
      <w:r>
        <w:t>1. Verify user internet connectivity via external speed/ping test.</w:t>
        <w:br/>
        <w:t>2. Confirm user credentials and Multi-Factor Authentication (MFA) token status.</w:t>
        <w:br/>
        <w:t>3. Verify local firewall and antivirus settings allowing VPN tunnel traffic.</w:t>
        <w:br/>
        <w:t>4. Flush local DNS cache (`ipconfig /flushdns`) and restart the VPN service daemon.</w:t>
        <w:br/>
        <w:t>5. Re-authenticate and verify tunnel establishment.</w:t>
      </w:r>
    </w:p>
    <w:p>
      <w:pPr>
        <w:keepNext/>
        <w:spacing w:before="200" w:after="40"/>
      </w:pPr>
      <w:r>
        <w:rPr>
          <w:rFonts w:ascii="Arial" w:hAnsi="Arial"/>
          <w:b/>
          <w:color w:val="222222"/>
          <w:sz w:val="24"/>
        </w:rPr>
        <w:t>Simulated Proceeding &amp; Interaction Transcript Summary</w:t>
      </w:r>
    </w:p>
    <w:p>
      <w:pPr>
        <w:spacing w:after="120" w:line="276" w:lineRule="auto"/>
      </w:pPr>
      <w:r>
        <w:t>During the 18-minute live chat simulation, the support technician followed a standard diagnostic script. The technician quickly verified local network connection status but spent 8 minutes attempting unnecessary credential resets before identifying that a recent local router firmware update had enabled strict SIP ALG / stateful firewall inspection, blocking the UDP packets required by the VPN protocol.</w:t>
      </w:r>
    </w:p>
    <w:p>
      <w:pPr>
        <w:keepNext/>
        <w:spacing w:before="200" w:after="40"/>
      </w:pPr>
      <w:r>
        <w:rPr>
          <w:rFonts w:ascii="Arial" w:hAnsi="Arial"/>
          <w:b/>
          <w:color w:val="222222"/>
          <w:sz w:val="24"/>
        </w:rPr>
        <w:t>Potential Pitfalls &amp; Identified Gaps</w:t>
      </w:r>
    </w:p>
    <w:p>
      <w:pPr>
        <w:pStyle w:val="ListBullet"/>
        <w:spacing w:after="60"/>
      </w:pPr>
      <w:r>
        <w:rPr>
          <w:b/>
        </w:rPr>
        <w:t xml:space="preserve">Over-reliance on Rigid Scripts: </w:t>
      </w:r>
      <w:r>
        <w:t>The technician focused excessively on password resets rather than analyzing client-side network topology changes.</w:t>
      </w:r>
    </w:p>
    <w:p>
      <w:pPr>
        <w:pStyle w:val="ListBullet"/>
        <w:spacing w:after="120"/>
      </w:pPr>
      <w:r>
        <w:rPr>
          <w:b/>
        </w:rPr>
        <w:t xml:space="preserve">Lack of Diagnostic Tools for Home Networks: </w:t>
      </w:r>
      <w:r>
        <w:t>Virtual support tools lacked automated network diagnostics for off-grid remote worker environments.</w:t>
      </w:r>
    </w:p>
    <w:p>
      <w:pPr>
        <w:keepNext/>
        <w:spacing w:before="280" w:after="80"/>
      </w:pPr>
      <w:r>
        <w:rPr>
          <w:rFonts w:ascii="Arial" w:hAnsi="Arial"/>
          <w:b/>
          <w:color w:val="006699"/>
          <w:sz w:val="28"/>
        </w:rPr>
        <w:t>Case Study 2: OS Boot Loop Following Mandatory Software Update</w:t>
      </w:r>
    </w:p>
    <w:p>
      <w:pPr>
        <w:keepNext/>
        <w:spacing w:before="200" w:after="40"/>
      </w:pPr>
      <w:r>
        <w:rPr>
          <w:rFonts w:ascii="Arial" w:hAnsi="Arial"/>
          <w:b/>
          <w:color w:val="222222"/>
          <w:sz w:val="24"/>
        </w:rPr>
        <w:t>Scenario Overview &amp; Introduction</w:t>
      </w:r>
    </w:p>
    <w:p>
      <w:pPr>
        <w:spacing w:after="120" w:line="276" w:lineRule="auto"/>
      </w:pPr>
      <w:r>
        <w:t xml:space="preserve">Following an overnight automated endpoint update, an employee's workstation became stuck in a continuous boot loop, displaying a Blue Screen of Death (BSOD) with error code </w:t>
      </w:r>
      <w:r>
        <w:rPr>
          <w:i/>
        </w:rPr>
        <w:t>'INACCESSIBLE_BOOT_DEVICE'</w:t>
      </w:r>
      <w:r>
        <w:t>. The employee was stranded prior to an executive presentation.</w:t>
      </w:r>
    </w:p>
    <w:p>
      <w:pPr>
        <w:keepNext/>
        <w:spacing w:before="200" w:after="40"/>
      </w:pPr>
      <w:r>
        <w:rPr>
          <w:rFonts w:ascii="Arial" w:hAnsi="Arial"/>
          <w:b/>
          <w:color w:val="222222"/>
          <w:sz w:val="24"/>
        </w:rPr>
        <w:t>Expected Support Workflow</w:t>
      </w:r>
    </w:p>
    <w:p>
      <w:pPr>
        <w:spacing w:after="80" w:line="276" w:lineRule="auto"/>
      </w:pPr>
      <w:r>
        <w:t>1. Triage urgency and reassure the user regarding data preservation.</w:t>
        <w:br/>
        <w:t>2. Guide the user through booting into Windows Recovery Environment (WinRE).</w:t>
        <w:br/>
        <w:t>3. Attempt Automatic Startup Repair.</w:t>
        <w:br/>
        <w:t>4. Execute System Restore or uninstall the latest quality/driver update via Command Prompt.</w:t>
        <w:br/>
        <w:t>5. If unsuccessful, initiate a cloud-based automated image recovery.</w:t>
      </w:r>
    </w:p>
    <w:p>
      <w:pPr>
        <w:keepNext/>
        <w:spacing w:before="200" w:after="40"/>
      </w:pPr>
      <w:r>
        <w:rPr>
          <w:rFonts w:ascii="Arial" w:hAnsi="Arial"/>
          <w:b/>
          <w:color w:val="222222"/>
          <w:sz w:val="24"/>
        </w:rPr>
        <w:t>Simulated Proceeding &amp; Interaction Transcript Summary</w:t>
      </w:r>
    </w:p>
    <w:p>
      <w:pPr>
        <w:spacing w:after="120" w:line="276" w:lineRule="auto"/>
      </w:pPr>
      <w:r>
        <w:t>The interaction took 34 minutes over a combination of phone guidance and video-assisted mobile view. The technician successfully guided the panicked user into WinRE and uninstalled the offending storage driver update. However, the user experienced severe anxiety during the initial 10 minutes because the technician failed to immediately confirm that local files stored on BitLocker-encrypted drives were safe.</w:t>
      </w:r>
    </w:p>
    <w:p>
      <w:pPr>
        <w:keepNext/>
        <w:spacing w:before="200" w:after="40"/>
      </w:pPr>
      <w:r>
        <w:rPr>
          <w:rFonts w:ascii="Arial" w:hAnsi="Arial"/>
          <w:b/>
          <w:color w:val="222222"/>
          <w:sz w:val="24"/>
        </w:rPr>
        <w:t>Potential Pitfalls &amp; Identified Gaps</w:t>
      </w:r>
    </w:p>
    <w:p>
      <w:pPr>
        <w:pStyle w:val="ListBullet"/>
        <w:spacing w:after="60"/>
      </w:pPr>
      <w:r>
        <w:rPr>
          <w:b/>
        </w:rPr>
        <w:t xml:space="preserve">Communication Gap in High-Stress Scenarios: </w:t>
      </w:r>
      <w:r>
        <w:t>Technician prioritized technical execution over soft skills and immediate reassurance.</w:t>
      </w:r>
    </w:p>
    <w:p>
      <w:pPr>
        <w:pStyle w:val="ListBullet"/>
        <w:spacing w:after="120"/>
      </w:pPr>
      <w:r>
        <w:rPr>
          <w:b/>
        </w:rPr>
        <w:t xml:space="preserve">Complex Key Retrieval: </w:t>
      </w:r>
      <w:r>
        <w:t>Retrieving the BitLocker recovery key required multi-step verification through a separate portal, causing significant delay.</w:t>
      </w:r>
    </w:p>
    <w:p>
      <w:pPr>
        <w:keepNext/>
        <w:spacing w:before="360" w:after="120"/>
      </w:pPr>
      <w:r>
        <w:rPr>
          <w:rFonts w:ascii="Arial" w:hAnsi="Arial"/>
          <w:b/>
          <w:color w:val="1B365D"/>
          <w:sz w:val="36"/>
        </w:rPr>
        <w:t>4. Comprehensive Evaluation &amp; Feedback Analysis</w:t>
      </w:r>
    </w:p>
    <w:p>
      <w:pPr>
        <w:spacing w:after="160" w:line="276" w:lineRule="auto"/>
      </w:pPr>
      <w:r>
        <w:t>A comparative analysis of both simulated scenarios provides valuable insights into current virtual support protocols.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160"/>
            <w:shd w:fill="1B365D"/>
            <w:tcMar>
              <w:top w:w="100" w:type="dxa"/>
              <w:bottom w:w="100" w:type="dxa"/>
              <w:left w:w="100" w:type="dxa"/>
              <w:right w:w="100" w:type="dxa"/>
            </w:tcMar>
          </w:tcPr>
          <w:p>
            <w:r>
              <w:rPr>
                <w:b/>
                <w:color w:val="FFFFFF"/>
              </w:rPr>
              <w:t>Scenario</w:t>
            </w:r>
          </w:p>
        </w:tc>
        <w:tc>
          <w:tcPr>
            <w:tcW w:type="dxa" w:w="2880"/>
            <w:shd w:fill="1B365D"/>
            <w:tcMar>
              <w:top w:w="100" w:type="dxa"/>
              <w:bottom w:w="100" w:type="dxa"/>
              <w:left w:w="100" w:type="dxa"/>
              <w:right w:w="100" w:type="dxa"/>
            </w:tcMar>
          </w:tcPr>
          <w:p>
            <w:r>
              <w:rPr>
                <w:b/>
                <w:color w:val="FFFFFF"/>
              </w:rPr>
              <w:t>Strengths Identified</w:t>
            </w:r>
          </w:p>
        </w:tc>
        <w:tc>
          <w:tcPr>
            <w:tcW w:type="dxa" w:w="2880"/>
            <w:shd w:fill="1B365D"/>
            <w:tcMar>
              <w:top w:w="100" w:type="dxa"/>
              <w:bottom w:w="100" w:type="dxa"/>
              <w:left w:w="100" w:type="dxa"/>
              <w:right w:w="100" w:type="dxa"/>
            </w:tcMar>
          </w:tcPr>
          <w:p>
            <w:r>
              <w:rPr>
                <w:b/>
                <w:color w:val="FFFFFF"/>
              </w:rPr>
              <w:t>Weaknesses / Gaps</w:t>
            </w:r>
          </w:p>
        </w:tc>
        <w:tc>
          <w:tcPr>
            <w:tcW w:type="dxa" w:w="1440"/>
            <w:shd w:fill="1B365D"/>
            <w:tcMar>
              <w:top w:w="100" w:type="dxa"/>
              <w:bottom w:w="100" w:type="dxa"/>
              <w:left w:w="100" w:type="dxa"/>
              <w:right w:w="100" w:type="dxa"/>
            </w:tcMar>
          </w:tcPr>
          <w:p>
            <w:r>
              <w:rPr>
                <w:b/>
                <w:color w:val="FFFFFF"/>
              </w:rPr>
              <w:t>Efficiency Score</w:t>
            </w:r>
          </w:p>
        </w:tc>
      </w:tr>
      <w:tr>
        <w:tc>
          <w:tcPr>
            <w:tcW w:type="dxa" w:w="2160"/>
            <w:shd w:fill="F0F4F8"/>
            <w:tcMar>
              <w:top w:w="80" w:type="dxa"/>
              <w:bottom w:w="80" w:type="dxa"/>
              <w:left w:w="100" w:type="dxa"/>
              <w:right w:w="100" w:type="dxa"/>
            </w:tcMar>
          </w:tcPr>
          <w:p>
            <w:r>
              <w:t>Case Study 1:</w:t>
              <w:br/>
              <w:t>VPN Failure</w:t>
            </w:r>
          </w:p>
        </w:tc>
        <w:tc>
          <w:tcPr>
            <w:tcW w:type="dxa" w:w="2880"/>
            <w:shd w:fill="F0F4F8"/>
            <w:tcMar>
              <w:top w:w="80" w:type="dxa"/>
              <w:bottom w:w="80" w:type="dxa"/>
              <w:left w:w="100" w:type="dxa"/>
              <w:right w:w="100" w:type="dxa"/>
            </w:tcMar>
          </w:tcPr>
          <w:p>
            <w:r>
              <w:t>• Rapid initial response (&lt; 1 min)</w:t>
              <w:br/>
              <w:t>• Structured credential verification</w:t>
              <w:br/>
              <w:t>• Professional chat etiquette</w:t>
            </w:r>
          </w:p>
        </w:tc>
        <w:tc>
          <w:tcPr>
            <w:tcW w:type="dxa" w:w="2880"/>
            <w:shd w:fill="F0F4F8"/>
            <w:tcMar>
              <w:top w:w="80" w:type="dxa"/>
              <w:bottom w:w="80" w:type="dxa"/>
              <w:left w:w="100" w:type="dxa"/>
              <w:right w:w="100" w:type="dxa"/>
            </w:tcMar>
          </w:tcPr>
          <w:p>
            <w:r>
              <w:t>• Linear script rigidity</w:t>
              <w:br/>
              <w:t>• Delayed network routing analysis</w:t>
              <w:br/>
              <w:t>• No pre-packaged diagnostic scripts</w:t>
            </w:r>
          </w:p>
        </w:tc>
        <w:tc>
          <w:tcPr>
            <w:tcW w:type="dxa" w:w="1440"/>
            <w:shd w:fill="F0F4F8"/>
            <w:tcMar>
              <w:top w:w="80" w:type="dxa"/>
              <w:bottom w:w="80" w:type="dxa"/>
              <w:left w:w="100" w:type="dxa"/>
              <w:right w:w="100" w:type="dxa"/>
            </w:tcMar>
          </w:tcPr>
          <w:p>
            <w:r>
              <w:t>78 / 100</w:t>
            </w:r>
          </w:p>
        </w:tc>
      </w:tr>
      <w:tr>
        <w:tc>
          <w:tcPr>
            <w:tcW w:type="dxa" w:w="2160"/>
            <w:shd w:fill="FFFFFF"/>
            <w:tcMar>
              <w:top w:w="80" w:type="dxa"/>
              <w:bottom w:w="80" w:type="dxa"/>
              <w:left w:w="100" w:type="dxa"/>
              <w:right w:w="100" w:type="dxa"/>
            </w:tcMar>
          </w:tcPr>
          <w:p>
            <w:r>
              <w:t>Case Study 2:</w:t>
              <w:br/>
              <w:t>OS Boot Loop</w:t>
            </w:r>
          </w:p>
        </w:tc>
        <w:tc>
          <w:tcPr>
            <w:tcW w:type="dxa" w:w="2880"/>
            <w:shd w:fill="FFFFFF"/>
            <w:tcMar>
              <w:top w:w="80" w:type="dxa"/>
              <w:bottom w:w="80" w:type="dxa"/>
              <w:left w:w="100" w:type="dxa"/>
              <w:right w:w="100" w:type="dxa"/>
            </w:tcMar>
          </w:tcPr>
          <w:p>
            <w:r>
              <w:t>• Advanced recovery technical knowledge</w:t>
              <w:br/>
              <w:t>• Effective use of mobile video assist</w:t>
              <w:br/>
              <w:t>• Successful data-loss prevention</w:t>
            </w:r>
          </w:p>
        </w:tc>
        <w:tc>
          <w:tcPr>
            <w:tcW w:type="dxa" w:w="2880"/>
            <w:shd w:fill="FFFFFF"/>
            <w:tcMar>
              <w:top w:w="80" w:type="dxa"/>
              <w:bottom w:w="80" w:type="dxa"/>
              <w:left w:w="100" w:type="dxa"/>
              <w:right w:w="100" w:type="dxa"/>
            </w:tcMar>
          </w:tcPr>
          <w:p>
            <w:r>
              <w:t>• Lack of early emotional reassurance</w:t>
              <w:br/>
              <w:t>• Friction in BitLocker key lookup</w:t>
              <w:br/>
              <w:t>• Total duration exceeded benchmark</w:t>
            </w:r>
          </w:p>
        </w:tc>
        <w:tc>
          <w:tcPr>
            <w:tcW w:type="dxa" w:w="1440"/>
            <w:shd w:fill="FFFFFF"/>
            <w:tcMar>
              <w:top w:w="80" w:type="dxa"/>
              <w:bottom w:w="80" w:type="dxa"/>
              <w:left w:w="100" w:type="dxa"/>
              <w:right w:w="100" w:type="dxa"/>
            </w:tcMar>
          </w:tcPr>
          <w:p>
            <w:r>
              <w:t>82 / 100</w:t>
            </w:r>
          </w:p>
        </w:tc>
      </w:tr>
    </w:tbl>
    <w:p>
      <w:pPr>
        <w:spacing w:after="240"/>
      </w:pPr>
    </w:p>
    <w:p>
      <w:pPr>
        <w:keepNext/>
        <w:spacing w:before="360" w:after="120"/>
      </w:pPr>
      <w:r>
        <w:rPr>
          <w:rFonts w:ascii="Arial" w:hAnsi="Arial"/>
          <w:b/>
          <w:color w:val="1B365D"/>
          <w:sz w:val="36"/>
        </w:rPr>
        <w:t>5. Suggested Protocol Improvement Plan</w:t>
      </w:r>
    </w:p>
    <w:p>
      <w:pPr>
        <w:spacing w:after="160" w:line="276" w:lineRule="auto"/>
      </w:pPr>
      <w:r>
        <w:t>Based on the gaps identified in the simulated interactions, a four-tier enhancement roadmap is proposed to optimize virtual computer support protocols.</w:t>
      </w:r>
    </w:p>
    <w:p>
      <w:pPr>
        <w:keepNext/>
        <w:spacing w:before="280" w:after="80"/>
      </w:pPr>
      <w:r>
        <w:rPr>
          <w:rFonts w:ascii="Arial" w:hAnsi="Arial"/>
          <w:b/>
          <w:color w:val="006699"/>
          <w:sz w:val="28"/>
        </w:rPr>
        <w:t>5.1 Actionable Recommendations</w:t>
      </w:r>
    </w:p>
    <w:p>
      <w:pPr>
        <w:pStyle w:val="ListBullet"/>
        <w:spacing w:after="80"/>
      </w:pPr>
      <w:r>
        <w:rPr>
          <w:b/>
        </w:rPr>
        <w:t xml:space="preserve">1. Dynamic &amp; Context-Aware Diagnostic Decision Trees: </w:t>
      </w:r>
      <w:r>
        <w:t>Replace static, linear troubleshooting scripts with dynamic knowledge-base flowcharts that prompt technicians to evaluate environmental factors (e.g., remote home routers, recent OS updates) early in the session.</w:t>
      </w:r>
    </w:p>
    <w:p>
      <w:pPr>
        <w:pStyle w:val="ListBullet"/>
        <w:spacing w:after="80"/>
      </w:pPr>
      <w:r>
        <w:rPr>
          <w:b/>
        </w:rPr>
        <w:t xml:space="preserve">2. One-Click Self-Service Diagnostic Utilities: </w:t>
      </w:r>
      <w:r>
        <w:t>Deploy lightweight pre-installed background diagnostic tools on client endpoints that execute automated connectivity and system health checks before generating a ticket, reducing MTTR by an estimated 25%.</w:t>
      </w:r>
    </w:p>
    <w:p>
      <w:pPr>
        <w:pStyle w:val="ListBullet"/>
        <w:spacing w:after="80"/>
      </w:pPr>
      <w:r>
        <w:rPr>
          <w:b/>
        </w:rPr>
        <w:t xml:space="preserve">3. Soft-Skills &amp; High-Stress De-escalation Training: </w:t>
      </w:r>
      <w:r>
        <w:t>Implement mandatory training focusing on empathy, immediate data safety reassurance, and clear communication techniques during critical device failures.</w:t>
      </w:r>
    </w:p>
    <w:p>
      <w:pPr>
        <w:pStyle w:val="ListBullet"/>
        <w:spacing w:after="160"/>
      </w:pPr>
      <w:r>
        <w:rPr>
          <w:b/>
        </w:rPr>
        <w:t xml:space="preserve">4. Streamlined BitLocker &amp; Security Key Retrieval Workflow: </w:t>
      </w:r>
      <w:r>
        <w:t>Integrate secure identity verification APIs directly into the support agent dashboard to eliminate multi-portal navigation during system recovery operations.</w:t>
      </w:r>
    </w:p>
    <w:p>
      <w:pPr>
        <w:keepNext/>
        <w:spacing w:before="280" w:after="80"/>
      </w:pPr>
      <w:r>
        <w:rPr>
          <w:rFonts w:ascii="Arial" w:hAnsi="Arial"/>
          <w:b/>
          <w:color w:val="006699"/>
          <w:sz w:val="28"/>
        </w:rPr>
        <w:t>5.2 Implementation Roadmap</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592"/>
            <w:shd w:fill="1B365D"/>
            <w:tcMar>
              <w:top w:w="100" w:type="dxa"/>
              <w:bottom w:w="100" w:type="dxa"/>
              <w:left w:w="100" w:type="dxa"/>
              <w:right w:w="100" w:type="dxa"/>
            </w:tcMar>
          </w:tcPr>
          <w:p>
            <w:r>
              <w:rPr>
                <w:b/>
                <w:color w:val="FFFFFF"/>
              </w:rPr>
              <w:t>Initiative</w:t>
            </w:r>
          </w:p>
        </w:tc>
        <w:tc>
          <w:tcPr>
            <w:tcW w:type="dxa" w:w="2160"/>
            <w:shd w:fill="1B365D"/>
            <w:tcMar>
              <w:top w:w="100" w:type="dxa"/>
              <w:bottom w:w="100" w:type="dxa"/>
              <w:left w:w="100" w:type="dxa"/>
              <w:right w:w="100" w:type="dxa"/>
            </w:tcMar>
          </w:tcPr>
          <w:p>
            <w:r>
              <w:rPr>
                <w:b/>
                <w:color w:val="FFFFFF"/>
              </w:rPr>
              <w:t>Target Phase</w:t>
            </w:r>
          </w:p>
        </w:tc>
        <w:tc>
          <w:tcPr>
            <w:tcW w:type="dxa" w:w="2448"/>
            <w:shd w:fill="1B365D"/>
            <w:tcMar>
              <w:top w:w="100" w:type="dxa"/>
              <w:bottom w:w="100" w:type="dxa"/>
              <w:left w:w="100" w:type="dxa"/>
              <w:right w:w="100" w:type="dxa"/>
            </w:tcMar>
          </w:tcPr>
          <w:p>
            <w:r>
              <w:rPr>
                <w:b/>
                <w:color w:val="FFFFFF"/>
              </w:rPr>
              <w:t>Required Resources</w:t>
            </w:r>
          </w:p>
        </w:tc>
        <w:tc>
          <w:tcPr>
            <w:tcW w:type="dxa" w:w="2160"/>
            <w:shd w:fill="1B365D"/>
            <w:tcMar>
              <w:top w:w="100" w:type="dxa"/>
              <w:bottom w:w="100" w:type="dxa"/>
              <w:left w:w="100" w:type="dxa"/>
              <w:right w:w="100" w:type="dxa"/>
            </w:tcMar>
          </w:tcPr>
          <w:p>
            <w:r>
              <w:rPr>
                <w:b/>
                <w:color w:val="FFFFFF"/>
              </w:rPr>
              <w:t>Expected Impact</w:t>
            </w:r>
          </w:p>
        </w:tc>
      </w:tr>
      <w:tr>
        <w:tc>
          <w:tcPr>
            <w:tcW w:type="dxa" w:w="2592"/>
            <w:shd w:fill="F0F4F8"/>
            <w:tcMar>
              <w:top w:w="80" w:type="dxa"/>
              <w:bottom w:w="80" w:type="dxa"/>
              <w:left w:w="100" w:type="dxa"/>
              <w:right w:w="100" w:type="dxa"/>
            </w:tcMar>
          </w:tcPr>
          <w:p>
            <w:r>
              <w:t>Interactive Knowledge Base</w:t>
            </w:r>
          </w:p>
        </w:tc>
        <w:tc>
          <w:tcPr>
            <w:tcW w:type="dxa" w:w="2160"/>
            <w:shd w:fill="F0F4F8"/>
            <w:tcMar>
              <w:top w:w="80" w:type="dxa"/>
              <w:bottom w:w="80" w:type="dxa"/>
              <w:left w:w="100" w:type="dxa"/>
              <w:right w:w="100" w:type="dxa"/>
            </w:tcMar>
          </w:tcPr>
          <w:p>
            <w:r>
              <w:t>Immediate (Weeks 1-2)</w:t>
            </w:r>
          </w:p>
        </w:tc>
        <w:tc>
          <w:tcPr>
            <w:tcW w:type="dxa" w:w="2448"/>
            <w:shd w:fill="F0F4F8"/>
            <w:tcMar>
              <w:top w:w="80" w:type="dxa"/>
              <w:bottom w:w="80" w:type="dxa"/>
              <w:left w:w="100" w:type="dxa"/>
              <w:right w:w="100" w:type="dxa"/>
            </w:tcMar>
          </w:tcPr>
          <w:p>
            <w:r>
              <w:t>Knowledge Manager, Senior IT</w:t>
            </w:r>
          </w:p>
        </w:tc>
        <w:tc>
          <w:tcPr>
            <w:tcW w:type="dxa" w:w="2160"/>
            <w:shd w:fill="F0F4F8"/>
            <w:tcMar>
              <w:top w:w="80" w:type="dxa"/>
              <w:bottom w:w="80" w:type="dxa"/>
              <w:left w:w="100" w:type="dxa"/>
              <w:right w:w="100" w:type="dxa"/>
            </w:tcMar>
          </w:tcPr>
          <w:p>
            <w:r>
              <w:t>30% reduction in diagnostic time</w:t>
            </w:r>
          </w:p>
        </w:tc>
      </w:tr>
      <w:tr>
        <w:tc>
          <w:tcPr>
            <w:tcW w:type="dxa" w:w="2592"/>
            <w:shd w:fill="FFFFFF"/>
            <w:tcMar>
              <w:top w:w="80" w:type="dxa"/>
              <w:bottom w:w="80" w:type="dxa"/>
              <w:left w:w="100" w:type="dxa"/>
              <w:right w:w="100" w:type="dxa"/>
            </w:tcMar>
          </w:tcPr>
          <w:p>
            <w:r>
              <w:t>Automated End-User Diagnostics</w:t>
            </w:r>
          </w:p>
        </w:tc>
        <w:tc>
          <w:tcPr>
            <w:tcW w:type="dxa" w:w="2160"/>
            <w:shd w:fill="FFFFFF"/>
            <w:tcMar>
              <w:top w:w="80" w:type="dxa"/>
              <w:bottom w:w="80" w:type="dxa"/>
              <w:left w:w="100" w:type="dxa"/>
              <w:right w:w="100" w:type="dxa"/>
            </w:tcMar>
          </w:tcPr>
          <w:p>
            <w:r>
              <w:t>Short-Term (Weeks 3-4)</w:t>
            </w:r>
          </w:p>
        </w:tc>
        <w:tc>
          <w:tcPr>
            <w:tcW w:type="dxa" w:w="2448"/>
            <w:shd w:fill="FFFFFF"/>
            <w:tcMar>
              <w:top w:w="80" w:type="dxa"/>
              <w:bottom w:w="80" w:type="dxa"/>
              <w:left w:w="100" w:type="dxa"/>
              <w:right w:w="100" w:type="dxa"/>
            </w:tcMar>
          </w:tcPr>
          <w:p>
            <w:r>
              <w:t>DevOps, Systems Engineer</w:t>
            </w:r>
          </w:p>
        </w:tc>
        <w:tc>
          <w:tcPr>
            <w:tcW w:type="dxa" w:w="2160"/>
            <w:shd w:fill="FFFFFF"/>
            <w:tcMar>
              <w:top w:w="80" w:type="dxa"/>
              <w:bottom w:w="80" w:type="dxa"/>
              <w:left w:w="100" w:type="dxa"/>
              <w:right w:w="100" w:type="dxa"/>
            </w:tcMar>
          </w:tcPr>
          <w:p>
            <w:r>
              <w:t>15% increase in First-Contact Resolution</w:t>
            </w:r>
          </w:p>
        </w:tc>
      </w:tr>
      <w:tr>
        <w:tc>
          <w:tcPr>
            <w:tcW w:type="dxa" w:w="2592"/>
            <w:shd w:fill="F0F4F8"/>
            <w:tcMar>
              <w:top w:w="80" w:type="dxa"/>
              <w:bottom w:w="80" w:type="dxa"/>
              <w:left w:w="100" w:type="dxa"/>
              <w:right w:w="100" w:type="dxa"/>
            </w:tcMar>
          </w:tcPr>
          <w:p>
            <w:r>
              <w:t>Soft Skills Training Modules</w:t>
            </w:r>
          </w:p>
        </w:tc>
        <w:tc>
          <w:tcPr>
            <w:tcW w:type="dxa" w:w="2160"/>
            <w:shd w:fill="F0F4F8"/>
            <w:tcMar>
              <w:top w:w="80" w:type="dxa"/>
              <w:bottom w:w="80" w:type="dxa"/>
              <w:left w:w="100" w:type="dxa"/>
              <w:right w:w="100" w:type="dxa"/>
            </w:tcMar>
          </w:tcPr>
          <w:p>
            <w:r>
              <w:t>Medium-Term (Month 2)</w:t>
            </w:r>
          </w:p>
        </w:tc>
        <w:tc>
          <w:tcPr>
            <w:tcW w:type="dxa" w:w="2448"/>
            <w:shd w:fill="F0F4F8"/>
            <w:tcMar>
              <w:top w:w="80" w:type="dxa"/>
              <w:bottom w:w="80" w:type="dxa"/>
              <w:left w:w="100" w:type="dxa"/>
              <w:right w:w="100" w:type="dxa"/>
            </w:tcMar>
          </w:tcPr>
          <w:p>
            <w:r>
              <w:t>HR, Support Leads</w:t>
            </w:r>
          </w:p>
        </w:tc>
        <w:tc>
          <w:tcPr>
            <w:tcW w:type="dxa" w:w="2160"/>
            <w:shd w:fill="F0F4F8"/>
            <w:tcMar>
              <w:top w:w="80" w:type="dxa"/>
              <w:bottom w:w="80" w:type="dxa"/>
              <w:left w:w="100" w:type="dxa"/>
              <w:right w:w="100" w:type="dxa"/>
            </w:tcMar>
          </w:tcPr>
          <w:p>
            <w:r>
              <w:t>20% improvement in CSAT scores</w:t>
            </w:r>
          </w:p>
        </w:tc>
      </w:tr>
      <w:tr>
        <w:tc>
          <w:tcPr>
            <w:tcW w:type="dxa" w:w="2592"/>
            <w:shd w:fill="FFFFFF"/>
            <w:tcMar>
              <w:top w:w="80" w:type="dxa"/>
              <w:bottom w:w="80" w:type="dxa"/>
              <w:left w:w="100" w:type="dxa"/>
              <w:right w:w="100" w:type="dxa"/>
            </w:tcMar>
          </w:tcPr>
          <w:p>
            <w:r>
              <w:t>Dashboard Security Integration</w:t>
            </w:r>
          </w:p>
        </w:tc>
        <w:tc>
          <w:tcPr>
            <w:tcW w:type="dxa" w:w="2160"/>
            <w:shd w:fill="FFFFFF"/>
            <w:tcMar>
              <w:top w:w="80" w:type="dxa"/>
              <w:bottom w:w="80" w:type="dxa"/>
              <w:left w:w="100" w:type="dxa"/>
              <w:right w:w="100" w:type="dxa"/>
            </w:tcMar>
          </w:tcPr>
          <w:p>
            <w:r>
              <w:t>Long-Term (Quarter 2)</w:t>
            </w:r>
          </w:p>
        </w:tc>
        <w:tc>
          <w:tcPr>
            <w:tcW w:type="dxa" w:w="2448"/>
            <w:shd w:fill="FFFFFF"/>
            <w:tcMar>
              <w:top w:w="80" w:type="dxa"/>
              <w:bottom w:w="80" w:type="dxa"/>
              <w:left w:w="100" w:type="dxa"/>
              <w:right w:w="100" w:type="dxa"/>
            </w:tcMar>
          </w:tcPr>
          <w:p>
            <w:r>
              <w:t>IT Security, Integration Team</w:t>
            </w:r>
          </w:p>
        </w:tc>
        <w:tc>
          <w:tcPr>
            <w:tcW w:type="dxa" w:w="2160"/>
            <w:shd w:fill="FFFFFF"/>
            <w:tcMar>
              <w:top w:w="80" w:type="dxa"/>
              <w:bottom w:w="80" w:type="dxa"/>
              <w:left w:w="100" w:type="dxa"/>
              <w:right w:w="100" w:type="dxa"/>
            </w:tcMar>
          </w:tcPr>
          <w:p>
            <w:r>
              <w:t>5-minute reduction in WinRE recovery time</w:t>
            </w:r>
          </w:p>
        </w:tc>
      </w:tr>
    </w:tbl>
    <w:p>
      <w:pPr>
        <w:spacing w:after="240"/>
      </w:pPr>
    </w:p>
    <w:p>
      <w:pPr>
        <w:keepNext/>
        <w:spacing w:before="360" w:after="120"/>
      </w:pPr>
      <w:r>
        <w:rPr>
          <w:rFonts w:ascii="Arial" w:hAnsi="Arial"/>
          <w:b/>
          <w:color w:val="1B365D"/>
          <w:sz w:val="36"/>
        </w:rPr>
        <w:t>6. Conclusion</w:t>
      </w:r>
    </w:p>
    <w:p>
      <w:pPr>
        <w:spacing w:after="160" w:line="276" w:lineRule="auto"/>
      </w:pPr>
      <w:r>
        <w:t>The Week 3 virtual computer support simulation successfully validated the critical role of simulated user interactions in identifying systemic support weaknesses. By analyzing technical and interpersonal dynamics across realistic scenarios, this evaluation highlights that technical competence must be paired with dynamic diagnostic workflows and strong user-centric communication. Implementation of the proposed improvement plan will significantly enhance virtual support delivery, increase FCR, and optimize user trust across remote enterprise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