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B365D"/>
          <w:sz w:val="48"/>
        </w:rPr>
        <w:t>WEEK 3 TASK: STATISTICAL ANALYSIS &amp; PREDICTIVE MODELING USING R</w:t>
      </w:r>
    </w:p>
    <w:p>
      <w:pPr>
        <w:spacing w:after="480"/>
        <w:jc w:val="center"/>
      </w:pPr>
      <w:r>
        <w:rPr>
          <w:i/>
          <w:color w:val="008080"/>
          <w:sz w:val="26"/>
        </w:rPr>
        <w:t>A Comprehensive End-to-End Data Science Project Report: Housing Market Analytics &amp; Price Prediction</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CCCCC"/>
          <w:insideV w:val="none"/>
          <w:left w:val="none"/>
          <w:right w:val="none"/>
        </w:tblBorders>
      </w:tblPr>
      <w:tblGrid>
        <w:gridCol w:w="4680"/>
        <w:gridCol w:w="4680"/>
      </w:tblGrid>
      <w:tr>
        <w:trPr>
          <w:tblHeader/>
        </w:trPr>
        <w:tc>
          <w:tcPr>
            <w:tcW w:type="dxa" w:w="3168"/>
            <w:shd w:fill="1B365D"/>
            <w:tcMar>
              <w:top w:w="120" w:type="dxa"/>
              <w:bottom w:w="120" w:type="dxa"/>
              <w:left w:w="120" w:type="dxa"/>
              <w:right w:w="120" w:type="dxa"/>
            </w:tcMar>
          </w:tcPr>
          <w:p>
            <w:pPr>
              <w:jc w:val="left"/>
            </w:pPr>
            <w:r>
              <w:rPr>
                <w:b/>
                <w:color w:val="FFFFFF"/>
                <w:sz w:val="20"/>
              </w:rPr>
              <w:t>Domain / Subject:</w:t>
            </w:r>
          </w:p>
        </w:tc>
        <w:tc>
          <w:tcPr>
            <w:tcW w:type="dxa" w:w="6192"/>
            <w:shd w:fill="1B365D"/>
            <w:tcMar>
              <w:top w:w="120" w:type="dxa"/>
              <w:bottom w:w="120" w:type="dxa"/>
              <w:left w:w="120" w:type="dxa"/>
              <w:right w:w="120" w:type="dxa"/>
            </w:tcMar>
          </w:tcPr>
          <w:p>
            <w:pPr>
              <w:jc w:val="left"/>
            </w:pPr>
            <w:r>
              <w:rPr>
                <w:b/>
                <w:color w:val="FFFFFF"/>
                <w:sz w:val="20"/>
              </w:rPr>
              <w:t>Data Science, Applied Statistics, Machine Learning in R</w:t>
            </w:r>
          </w:p>
        </w:tc>
      </w:tr>
      <w:tr>
        <w:tc>
          <w:tcPr>
            <w:tcW w:type="dxa" w:w="3168"/>
            <w:shd w:fill="F0F4F8"/>
            <w:tcMar>
              <w:top w:w="100" w:type="dxa"/>
              <w:bottom w:w="100" w:type="dxa"/>
              <w:left w:w="120" w:type="dxa"/>
              <w:right w:w="120" w:type="dxa"/>
            </w:tcMar>
          </w:tcPr>
          <w:p>
            <w:pPr>
              <w:jc w:val="left"/>
            </w:pPr>
            <w:r>
              <w:rPr>
                <w:b/>
                <w:sz w:val="19"/>
              </w:rPr>
              <w:t>Project Focus:</w:t>
            </w:r>
          </w:p>
        </w:tc>
        <w:tc>
          <w:tcPr>
            <w:tcW w:type="dxa" w:w="6192"/>
            <w:shd w:fill="F0F4F8"/>
            <w:tcMar>
              <w:top w:w="100" w:type="dxa"/>
              <w:bottom w:w="100" w:type="dxa"/>
              <w:left w:w="120" w:type="dxa"/>
              <w:right w:w="120" w:type="dxa"/>
            </w:tcMar>
          </w:tcPr>
          <w:p>
            <w:pPr>
              <w:jc w:val="left"/>
            </w:pPr>
            <w:r>
              <w:rPr>
                <w:sz w:val="19"/>
              </w:rPr>
              <w:t>Exploratory Data Analysis, Hypothesis Testing, Multiple Linear Regression, Model Diagnostics &amp; Evaluation</w:t>
            </w:r>
          </w:p>
        </w:tc>
      </w:tr>
      <w:tr>
        <w:tc>
          <w:tcPr>
            <w:tcW w:type="dxa" w:w="3168"/>
            <w:shd w:fill="FFFFFF"/>
            <w:tcMar>
              <w:top w:w="100" w:type="dxa"/>
              <w:bottom w:w="100" w:type="dxa"/>
              <w:left w:w="120" w:type="dxa"/>
              <w:right w:w="120" w:type="dxa"/>
            </w:tcMar>
          </w:tcPr>
          <w:p>
            <w:pPr>
              <w:jc w:val="left"/>
            </w:pPr>
            <w:r>
              <w:rPr>
                <w:b/>
                <w:sz w:val="19"/>
              </w:rPr>
              <w:t>Estimated Time Investment:</w:t>
            </w:r>
          </w:p>
        </w:tc>
        <w:tc>
          <w:tcPr>
            <w:tcW w:type="dxa" w:w="6192"/>
            <w:shd w:fill="FFFFFF"/>
            <w:tcMar>
              <w:top w:w="100" w:type="dxa"/>
              <w:bottom w:w="100" w:type="dxa"/>
              <w:left w:w="120" w:type="dxa"/>
              <w:right w:w="120" w:type="dxa"/>
            </w:tcMar>
          </w:tcPr>
          <w:p>
            <w:pPr>
              <w:jc w:val="left"/>
            </w:pPr>
            <w:r>
              <w:rPr>
                <w:sz w:val="19"/>
              </w:rPr>
              <w:t>30 – 35 Hours of Focused Work</w:t>
            </w:r>
          </w:p>
        </w:tc>
      </w:tr>
      <w:tr>
        <w:tc>
          <w:tcPr>
            <w:tcW w:type="dxa" w:w="3168"/>
            <w:shd w:fill="F0F4F8"/>
            <w:tcMar>
              <w:top w:w="100" w:type="dxa"/>
              <w:bottom w:w="100" w:type="dxa"/>
              <w:left w:w="120" w:type="dxa"/>
              <w:right w:w="120" w:type="dxa"/>
            </w:tcMar>
          </w:tcPr>
          <w:p>
            <w:pPr>
              <w:jc w:val="left"/>
            </w:pPr>
            <w:r>
              <w:rPr>
                <w:b/>
                <w:sz w:val="19"/>
              </w:rPr>
              <w:t>Deliverable Format:</w:t>
            </w:r>
          </w:p>
        </w:tc>
        <w:tc>
          <w:tcPr>
            <w:tcW w:type="dxa" w:w="6192"/>
            <w:shd w:fill="F0F4F8"/>
            <w:tcMar>
              <w:top w:w="100" w:type="dxa"/>
              <w:bottom w:w="100" w:type="dxa"/>
              <w:left w:w="120" w:type="dxa"/>
              <w:right w:w="120" w:type="dxa"/>
            </w:tcMar>
          </w:tcPr>
          <w:p>
            <w:pPr>
              <w:jc w:val="left"/>
            </w:pPr>
            <w:r>
              <w:rPr>
                <w:sz w:val="19"/>
              </w:rPr>
              <w:t>Word Technical Report Document (.docx / .doc)</w:t>
            </w:r>
          </w:p>
        </w:tc>
      </w:tr>
    </w:tbl>
    <w:p>
      <w:r>
        <w:br w:type="page"/>
      </w:r>
    </w:p>
    <w:p>
      <w:pPr>
        <w:keepNext/>
        <w:spacing w:before="360" w:after="160"/>
        <w:pBdr>
          <w:bottom w:val="single" w:sz="12" w:space="4" w:color="008080"/>
        </w:pBdr>
      </w:pPr>
      <w:r>
        <w:rPr>
          <w:rFonts w:ascii="Arial" w:hAnsi="Arial"/>
          <w:b/>
          <w:color w:val="1B365D"/>
          <w:sz w:val="36"/>
        </w:rPr>
        <w:t>1. Project Overview &amp; Dataset Selection</w:t>
      </w:r>
    </w:p>
    <w:p>
      <w:pPr>
        <w:keepNext/>
        <w:spacing w:before="280" w:after="120"/>
      </w:pPr>
      <w:r>
        <w:rPr>
          <w:rFonts w:ascii="Arial" w:hAnsi="Arial"/>
          <w:b/>
          <w:color w:val="008080"/>
          <w:sz w:val="28"/>
        </w:rPr>
        <w:t>1.1 Executive Summary</w:t>
      </w:r>
    </w:p>
    <w:p>
      <w:r>
        <w:t>This technical report details the execution of an end-to-end data science project conducted during Week 3 of the analytics track. The primary objective is to perform rigorous statistical analysis and build a robust predictive model using R. Through a structured 35-hour workflow, we investigate the key structural, spatial, and environmental determinants of housing valuation and establish an optimized predictive modeling pipeline.</w:t>
      </w:r>
    </w:p>
    <w:p>
      <w:pPr>
        <w:keepNext/>
        <w:spacing w:before="280" w:after="120"/>
      </w:pPr>
      <w:r>
        <w:rPr>
          <w:rFonts w:ascii="Arial" w:hAnsi="Arial"/>
          <w:b/>
          <w:color w:val="008080"/>
          <w:sz w:val="28"/>
        </w:rPr>
        <w:t>1.2 Dataset Description &amp; Rationale</w:t>
      </w:r>
    </w:p>
    <w:p>
      <w:r>
        <w:t>The analysis utilizes the publicly available Boston Housing dataset (sourced from the MASS package in R). The dataset contains 506 observation instances across 14 statistical variables measuring housing values and socio-economic attributes in suburban Boston census tracts.</w:t>
      </w:r>
    </w:p>
    <w:p>
      <w:r>
        <w:t>Rationale for Dataset Selection:</w:t>
      </w:r>
    </w:p>
    <w:p>
      <w:pPr>
        <w:pStyle w:val="ListBullet"/>
      </w:pPr>
      <w:r>
        <w:rPr>
          <w:b/>
        </w:rPr>
        <w:t xml:space="preserve">Multivariate Complexity: </w:t>
      </w:r>
      <w:r>
        <w:t>Contains continuous, integer, and categorical dummy variables, offering rich grounds for statistical testing.</w:t>
      </w:r>
    </w:p>
    <w:p>
      <w:pPr>
        <w:pStyle w:val="ListBullet"/>
      </w:pPr>
      <w:r>
        <w:rPr>
          <w:b/>
        </w:rPr>
        <w:t xml:space="preserve">Real-World Analytical Relevance: </w:t>
      </w:r>
      <w:r>
        <w:t>Housing price prediction represents a classic econometrics and real estate problem with direct commercial applications.</w:t>
      </w:r>
    </w:p>
    <w:p>
      <w:pPr>
        <w:pStyle w:val="ListBullet"/>
      </w:pPr>
      <w:r>
        <w:rPr>
          <w:b/>
        </w:rPr>
        <w:t xml:space="preserve">Ideal Benchmarking Features: </w:t>
      </w:r>
      <w:r>
        <w:t>Presents subtle non-linearities, collinearity among urban variables, and outlier characteristics that rigorously test model diagnostic and optimization methods.</w:t>
      </w:r>
    </w:p>
    <w:p>
      <w:pPr>
        <w:keepNext/>
        <w:spacing w:before="280" w:after="120"/>
      </w:pPr>
      <w:r>
        <w:rPr>
          <w:rFonts w:ascii="Arial" w:hAnsi="Arial"/>
          <w:b/>
          <w:color w:val="008080"/>
          <w:sz w:val="28"/>
        </w:rPr>
        <w:t>1.3 Variable Dictionary</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CCCCC"/>
          <w:insideV w:val="none"/>
          <w:left w:val="none"/>
          <w:right w:val="none"/>
        </w:tblBorders>
      </w:tblPr>
      <w:tblGrid>
        <w:gridCol w:w="3120"/>
        <w:gridCol w:w="3120"/>
        <w:gridCol w:w="3120"/>
      </w:tblGrid>
      <w:tr>
        <w:trPr>
          <w:tblHeader/>
        </w:trPr>
        <w:tc>
          <w:tcPr>
            <w:tcW w:type="dxa" w:w="1728"/>
            <w:shd w:fill="1B365D"/>
            <w:tcMar>
              <w:top w:w="120" w:type="dxa"/>
              <w:bottom w:w="120" w:type="dxa"/>
              <w:left w:w="120" w:type="dxa"/>
              <w:right w:w="120" w:type="dxa"/>
            </w:tcMar>
          </w:tcPr>
          <w:p>
            <w:pPr>
              <w:jc w:val="left"/>
            </w:pPr>
            <w:r>
              <w:rPr>
                <w:b/>
                <w:color w:val="FFFFFF"/>
                <w:sz w:val="20"/>
              </w:rPr>
              <w:t>Variable</w:t>
            </w:r>
          </w:p>
        </w:tc>
        <w:tc>
          <w:tcPr>
            <w:tcW w:type="dxa" w:w="1872"/>
            <w:shd w:fill="1B365D"/>
            <w:tcMar>
              <w:top w:w="120" w:type="dxa"/>
              <w:bottom w:w="120" w:type="dxa"/>
              <w:left w:w="120" w:type="dxa"/>
              <w:right w:w="120" w:type="dxa"/>
            </w:tcMar>
          </w:tcPr>
          <w:p>
            <w:pPr>
              <w:jc w:val="center"/>
            </w:pPr>
            <w:r>
              <w:rPr>
                <w:b/>
                <w:color w:val="FFFFFF"/>
                <w:sz w:val="20"/>
              </w:rPr>
              <w:t>Data Type</w:t>
            </w:r>
          </w:p>
        </w:tc>
        <w:tc>
          <w:tcPr>
            <w:tcW w:type="dxa" w:w="5760"/>
            <w:shd w:fill="1B365D"/>
            <w:tcMar>
              <w:top w:w="120" w:type="dxa"/>
              <w:bottom w:w="120" w:type="dxa"/>
              <w:left w:w="120" w:type="dxa"/>
              <w:right w:w="120" w:type="dxa"/>
            </w:tcMar>
          </w:tcPr>
          <w:p>
            <w:pPr>
              <w:jc w:val="left"/>
            </w:pPr>
            <w:r>
              <w:rPr>
                <w:b/>
                <w:color w:val="FFFFFF"/>
                <w:sz w:val="20"/>
              </w:rPr>
              <w:t>Description</w:t>
            </w:r>
          </w:p>
        </w:tc>
      </w:tr>
      <w:tr>
        <w:tc>
          <w:tcPr>
            <w:tcW w:type="dxa" w:w="1728"/>
            <w:shd w:fill="F0F4F8"/>
            <w:tcMar>
              <w:top w:w="100" w:type="dxa"/>
              <w:bottom w:w="100" w:type="dxa"/>
              <w:left w:w="120" w:type="dxa"/>
              <w:right w:w="120" w:type="dxa"/>
            </w:tcMar>
          </w:tcPr>
          <w:p>
            <w:pPr>
              <w:jc w:val="left"/>
            </w:pPr>
            <w:r>
              <w:rPr>
                <w:sz w:val="19"/>
              </w:rPr>
              <w:t>crim</w:t>
            </w:r>
          </w:p>
        </w:tc>
        <w:tc>
          <w:tcPr>
            <w:tcW w:type="dxa" w:w="1872"/>
            <w:shd w:fill="F0F4F8"/>
            <w:tcMar>
              <w:top w:w="100" w:type="dxa"/>
              <w:bottom w:w="100" w:type="dxa"/>
              <w:left w:w="120" w:type="dxa"/>
              <w:right w:w="120" w:type="dxa"/>
            </w:tcMar>
          </w:tcPr>
          <w:p>
            <w:pPr>
              <w:jc w:val="center"/>
            </w:pPr>
            <w:r>
              <w:rPr>
                <w:sz w:val="19"/>
              </w:rPr>
              <w:t>Continuous</w:t>
            </w:r>
          </w:p>
        </w:tc>
        <w:tc>
          <w:tcPr>
            <w:tcW w:type="dxa" w:w="5760"/>
            <w:shd w:fill="F0F4F8"/>
            <w:tcMar>
              <w:top w:w="100" w:type="dxa"/>
              <w:bottom w:w="100" w:type="dxa"/>
              <w:left w:w="120" w:type="dxa"/>
              <w:right w:w="120" w:type="dxa"/>
            </w:tcMar>
          </w:tcPr>
          <w:p>
            <w:pPr>
              <w:jc w:val="left"/>
            </w:pPr>
            <w:r>
              <w:rPr>
                <w:sz w:val="19"/>
              </w:rPr>
              <w:t>Per capita crime rate by town</w:t>
            </w:r>
          </w:p>
        </w:tc>
      </w:tr>
      <w:tr>
        <w:tc>
          <w:tcPr>
            <w:tcW w:type="dxa" w:w="1728"/>
            <w:shd w:fill="FFFFFF"/>
            <w:tcMar>
              <w:top w:w="100" w:type="dxa"/>
              <w:bottom w:w="100" w:type="dxa"/>
              <w:left w:w="120" w:type="dxa"/>
              <w:right w:w="120" w:type="dxa"/>
            </w:tcMar>
          </w:tcPr>
          <w:p>
            <w:pPr>
              <w:jc w:val="left"/>
            </w:pPr>
            <w:r>
              <w:rPr>
                <w:sz w:val="19"/>
              </w:rPr>
              <w:t>zn</w:t>
            </w:r>
          </w:p>
        </w:tc>
        <w:tc>
          <w:tcPr>
            <w:tcW w:type="dxa" w:w="1872"/>
            <w:shd w:fill="FFFFFF"/>
            <w:tcMar>
              <w:top w:w="100" w:type="dxa"/>
              <w:bottom w:w="100" w:type="dxa"/>
              <w:left w:w="120" w:type="dxa"/>
              <w:right w:w="120" w:type="dxa"/>
            </w:tcMar>
          </w:tcPr>
          <w:p>
            <w:pPr>
              <w:jc w:val="center"/>
            </w:pPr>
            <w:r>
              <w:rPr>
                <w:sz w:val="19"/>
              </w:rPr>
              <w:t>Continuous</w:t>
            </w:r>
          </w:p>
        </w:tc>
        <w:tc>
          <w:tcPr>
            <w:tcW w:type="dxa" w:w="5760"/>
            <w:shd w:fill="FFFFFF"/>
            <w:tcMar>
              <w:top w:w="100" w:type="dxa"/>
              <w:bottom w:w="100" w:type="dxa"/>
              <w:left w:w="120" w:type="dxa"/>
              <w:right w:w="120" w:type="dxa"/>
            </w:tcMar>
          </w:tcPr>
          <w:p>
            <w:pPr>
              <w:jc w:val="left"/>
            </w:pPr>
            <w:r>
              <w:rPr>
                <w:sz w:val="19"/>
              </w:rPr>
              <w:t>Proportion of residential land zoned for lots over 25,000 sq.ft.</w:t>
            </w:r>
          </w:p>
        </w:tc>
      </w:tr>
      <w:tr>
        <w:tc>
          <w:tcPr>
            <w:tcW w:type="dxa" w:w="1728"/>
            <w:shd w:fill="F0F4F8"/>
            <w:tcMar>
              <w:top w:w="100" w:type="dxa"/>
              <w:bottom w:w="100" w:type="dxa"/>
              <w:left w:w="120" w:type="dxa"/>
              <w:right w:w="120" w:type="dxa"/>
            </w:tcMar>
          </w:tcPr>
          <w:p>
            <w:pPr>
              <w:jc w:val="left"/>
            </w:pPr>
            <w:r>
              <w:rPr>
                <w:sz w:val="19"/>
              </w:rPr>
              <w:t>indus</w:t>
            </w:r>
          </w:p>
        </w:tc>
        <w:tc>
          <w:tcPr>
            <w:tcW w:type="dxa" w:w="1872"/>
            <w:shd w:fill="F0F4F8"/>
            <w:tcMar>
              <w:top w:w="100" w:type="dxa"/>
              <w:bottom w:w="100" w:type="dxa"/>
              <w:left w:w="120" w:type="dxa"/>
              <w:right w:w="120" w:type="dxa"/>
            </w:tcMar>
          </w:tcPr>
          <w:p>
            <w:pPr>
              <w:jc w:val="center"/>
            </w:pPr>
            <w:r>
              <w:rPr>
                <w:sz w:val="19"/>
              </w:rPr>
              <w:t>Continuous</w:t>
            </w:r>
          </w:p>
        </w:tc>
        <w:tc>
          <w:tcPr>
            <w:tcW w:type="dxa" w:w="5760"/>
            <w:shd w:fill="F0F4F8"/>
            <w:tcMar>
              <w:top w:w="100" w:type="dxa"/>
              <w:bottom w:w="100" w:type="dxa"/>
              <w:left w:w="120" w:type="dxa"/>
              <w:right w:w="120" w:type="dxa"/>
            </w:tcMar>
          </w:tcPr>
          <w:p>
            <w:pPr>
              <w:jc w:val="left"/>
            </w:pPr>
            <w:r>
              <w:rPr>
                <w:sz w:val="19"/>
              </w:rPr>
              <w:t>Proportion of non-retail business acres per town</w:t>
            </w:r>
          </w:p>
        </w:tc>
      </w:tr>
      <w:tr>
        <w:tc>
          <w:tcPr>
            <w:tcW w:type="dxa" w:w="1728"/>
            <w:shd w:fill="FFFFFF"/>
            <w:tcMar>
              <w:top w:w="100" w:type="dxa"/>
              <w:bottom w:w="100" w:type="dxa"/>
              <w:left w:w="120" w:type="dxa"/>
              <w:right w:w="120" w:type="dxa"/>
            </w:tcMar>
          </w:tcPr>
          <w:p>
            <w:pPr>
              <w:jc w:val="left"/>
            </w:pPr>
            <w:r>
              <w:rPr>
                <w:sz w:val="19"/>
              </w:rPr>
              <w:t>chas</w:t>
            </w:r>
          </w:p>
        </w:tc>
        <w:tc>
          <w:tcPr>
            <w:tcW w:type="dxa" w:w="1872"/>
            <w:shd w:fill="FFFFFF"/>
            <w:tcMar>
              <w:top w:w="100" w:type="dxa"/>
              <w:bottom w:w="100" w:type="dxa"/>
              <w:left w:w="120" w:type="dxa"/>
              <w:right w:w="120" w:type="dxa"/>
            </w:tcMar>
          </w:tcPr>
          <w:p>
            <w:pPr>
              <w:jc w:val="center"/>
            </w:pPr>
            <w:r>
              <w:rPr>
                <w:sz w:val="19"/>
              </w:rPr>
              <w:t>Binary Factor</w:t>
            </w:r>
          </w:p>
        </w:tc>
        <w:tc>
          <w:tcPr>
            <w:tcW w:type="dxa" w:w="5760"/>
            <w:shd w:fill="FFFFFF"/>
            <w:tcMar>
              <w:top w:w="100" w:type="dxa"/>
              <w:bottom w:w="100" w:type="dxa"/>
              <w:left w:w="120" w:type="dxa"/>
              <w:right w:w="120" w:type="dxa"/>
            </w:tcMar>
          </w:tcPr>
          <w:p>
            <w:pPr>
              <w:jc w:val="left"/>
            </w:pPr>
            <w:r>
              <w:rPr>
                <w:sz w:val="19"/>
              </w:rPr>
              <w:t>Charles River dummy variable (= 1 if tract bounds river; 0 otherwise)</w:t>
            </w:r>
          </w:p>
        </w:tc>
      </w:tr>
      <w:tr>
        <w:tc>
          <w:tcPr>
            <w:tcW w:type="dxa" w:w="1728"/>
            <w:shd w:fill="F0F4F8"/>
            <w:tcMar>
              <w:top w:w="100" w:type="dxa"/>
              <w:bottom w:w="100" w:type="dxa"/>
              <w:left w:w="120" w:type="dxa"/>
              <w:right w:w="120" w:type="dxa"/>
            </w:tcMar>
          </w:tcPr>
          <w:p>
            <w:pPr>
              <w:jc w:val="left"/>
            </w:pPr>
            <w:r>
              <w:rPr>
                <w:sz w:val="19"/>
              </w:rPr>
              <w:t>nox</w:t>
            </w:r>
          </w:p>
        </w:tc>
        <w:tc>
          <w:tcPr>
            <w:tcW w:type="dxa" w:w="1872"/>
            <w:shd w:fill="F0F4F8"/>
            <w:tcMar>
              <w:top w:w="100" w:type="dxa"/>
              <w:bottom w:w="100" w:type="dxa"/>
              <w:left w:w="120" w:type="dxa"/>
              <w:right w:w="120" w:type="dxa"/>
            </w:tcMar>
          </w:tcPr>
          <w:p>
            <w:pPr>
              <w:jc w:val="center"/>
            </w:pPr>
            <w:r>
              <w:rPr>
                <w:sz w:val="19"/>
              </w:rPr>
              <w:t>Continuous</w:t>
            </w:r>
          </w:p>
        </w:tc>
        <w:tc>
          <w:tcPr>
            <w:tcW w:type="dxa" w:w="5760"/>
            <w:shd w:fill="F0F4F8"/>
            <w:tcMar>
              <w:top w:w="100" w:type="dxa"/>
              <w:bottom w:w="100" w:type="dxa"/>
              <w:left w:w="120" w:type="dxa"/>
              <w:right w:w="120" w:type="dxa"/>
            </w:tcMar>
          </w:tcPr>
          <w:p>
            <w:pPr>
              <w:jc w:val="left"/>
            </w:pPr>
            <w:r>
              <w:rPr>
                <w:sz w:val="19"/>
              </w:rPr>
              <w:t>Nitric oxides concentration (parts per 10 million)</w:t>
            </w:r>
          </w:p>
        </w:tc>
      </w:tr>
      <w:tr>
        <w:tc>
          <w:tcPr>
            <w:tcW w:type="dxa" w:w="1728"/>
            <w:shd w:fill="FFFFFF"/>
            <w:tcMar>
              <w:top w:w="100" w:type="dxa"/>
              <w:bottom w:w="100" w:type="dxa"/>
              <w:left w:w="120" w:type="dxa"/>
              <w:right w:w="120" w:type="dxa"/>
            </w:tcMar>
          </w:tcPr>
          <w:p>
            <w:pPr>
              <w:jc w:val="left"/>
            </w:pPr>
            <w:r>
              <w:rPr>
                <w:sz w:val="19"/>
              </w:rPr>
              <w:t>rm</w:t>
            </w:r>
          </w:p>
        </w:tc>
        <w:tc>
          <w:tcPr>
            <w:tcW w:type="dxa" w:w="1872"/>
            <w:shd w:fill="FFFFFF"/>
            <w:tcMar>
              <w:top w:w="100" w:type="dxa"/>
              <w:bottom w:w="100" w:type="dxa"/>
              <w:left w:w="120" w:type="dxa"/>
              <w:right w:w="120" w:type="dxa"/>
            </w:tcMar>
          </w:tcPr>
          <w:p>
            <w:pPr>
              <w:jc w:val="center"/>
            </w:pPr>
            <w:r>
              <w:rPr>
                <w:sz w:val="19"/>
              </w:rPr>
              <w:t>Continuous</w:t>
            </w:r>
          </w:p>
        </w:tc>
        <w:tc>
          <w:tcPr>
            <w:tcW w:type="dxa" w:w="5760"/>
            <w:shd w:fill="FFFFFF"/>
            <w:tcMar>
              <w:top w:w="100" w:type="dxa"/>
              <w:bottom w:w="100" w:type="dxa"/>
              <w:left w:w="120" w:type="dxa"/>
              <w:right w:w="120" w:type="dxa"/>
            </w:tcMar>
          </w:tcPr>
          <w:p>
            <w:pPr>
              <w:jc w:val="left"/>
            </w:pPr>
            <w:r>
              <w:rPr>
                <w:sz w:val="19"/>
              </w:rPr>
              <w:t>Average number of rooms per dwelling</w:t>
            </w:r>
          </w:p>
        </w:tc>
      </w:tr>
      <w:tr>
        <w:tc>
          <w:tcPr>
            <w:tcW w:type="dxa" w:w="1728"/>
            <w:shd w:fill="F0F4F8"/>
            <w:tcMar>
              <w:top w:w="100" w:type="dxa"/>
              <w:bottom w:w="100" w:type="dxa"/>
              <w:left w:w="120" w:type="dxa"/>
              <w:right w:w="120" w:type="dxa"/>
            </w:tcMar>
          </w:tcPr>
          <w:p>
            <w:pPr>
              <w:jc w:val="left"/>
            </w:pPr>
            <w:r>
              <w:rPr>
                <w:sz w:val="19"/>
              </w:rPr>
              <w:t>age</w:t>
            </w:r>
          </w:p>
        </w:tc>
        <w:tc>
          <w:tcPr>
            <w:tcW w:type="dxa" w:w="1872"/>
            <w:shd w:fill="F0F4F8"/>
            <w:tcMar>
              <w:top w:w="100" w:type="dxa"/>
              <w:bottom w:w="100" w:type="dxa"/>
              <w:left w:w="120" w:type="dxa"/>
              <w:right w:w="120" w:type="dxa"/>
            </w:tcMar>
          </w:tcPr>
          <w:p>
            <w:pPr>
              <w:jc w:val="center"/>
            </w:pPr>
            <w:r>
              <w:rPr>
                <w:sz w:val="19"/>
              </w:rPr>
              <w:t>Continuous</w:t>
            </w:r>
          </w:p>
        </w:tc>
        <w:tc>
          <w:tcPr>
            <w:tcW w:type="dxa" w:w="5760"/>
            <w:shd w:fill="F0F4F8"/>
            <w:tcMar>
              <w:top w:w="100" w:type="dxa"/>
              <w:bottom w:w="100" w:type="dxa"/>
              <w:left w:w="120" w:type="dxa"/>
              <w:right w:w="120" w:type="dxa"/>
            </w:tcMar>
          </w:tcPr>
          <w:p>
            <w:pPr>
              <w:jc w:val="left"/>
            </w:pPr>
            <w:r>
              <w:rPr>
                <w:sz w:val="19"/>
              </w:rPr>
              <w:t>Proportion of owner-occupied units built prior to 1940</w:t>
            </w:r>
          </w:p>
        </w:tc>
      </w:tr>
      <w:tr>
        <w:tc>
          <w:tcPr>
            <w:tcW w:type="dxa" w:w="1728"/>
            <w:shd w:fill="FFFFFF"/>
            <w:tcMar>
              <w:top w:w="100" w:type="dxa"/>
              <w:bottom w:w="100" w:type="dxa"/>
              <w:left w:w="120" w:type="dxa"/>
              <w:right w:w="120" w:type="dxa"/>
            </w:tcMar>
          </w:tcPr>
          <w:p>
            <w:pPr>
              <w:jc w:val="left"/>
            </w:pPr>
            <w:r>
              <w:rPr>
                <w:sz w:val="19"/>
              </w:rPr>
              <w:t>dis</w:t>
            </w:r>
          </w:p>
        </w:tc>
        <w:tc>
          <w:tcPr>
            <w:tcW w:type="dxa" w:w="1872"/>
            <w:shd w:fill="FFFFFF"/>
            <w:tcMar>
              <w:top w:w="100" w:type="dxa"/>
              <w:bottom w:w="100" w:type="dxa"/>
              <w:left w:w="120" w:type="dxa"/>
              <w:right w:w="120" w:type="dxa"/>
            </w:tcMar>
          </w:tcPr>
          <w:p>
            <w:pPr>
              <w:jc w:val="center"/>
            </w:pPr>
            <w:r>
              <w:rPr>
                <w:sz w:val="19"/>
              </w:rPr>
              <w:t>Continuous</w:t>
            </w:r>
          </w:p>
        </w:tc>
        <w:tc>
          <w:tcPr>
            <w:tcW w:type="dxa" w:w="5760"/>
            <w:shd w:fill="FFFFFF"/>
            <w:tcMar>
              <w:top w:w="100" w:type="dxa"/>
              <w:bottom w:w="100" w:type="dxa"/>
              <w:left w:w="120" w:type="dxa"/>
              <w:right w:w="120" w:type="dxa"/>
            </w:tcMar>
          </w:tcPr>
          <w:p>
            <w:pPr>
              <w:jc w:val="left"/>
            </w:pPr>
            <w:r>
              <w:rPr>
                <w:sz w:val="19"/>
              </w:rPr>
              <w:t>Weighted distances to five Boston employment centres</w:t>
            </w:r>
          </w:p>
        </w:tc>
      </w:tr>
      <w:tr>
        <w:tc>
          <w:tcPr>
            <w:tcW w:type="dxa" w:w="1728"/>
            <w:shd w:fill="F0F4F8"/>
            <w:tcMar>
              <w:top w:w="100" w:type="dxa"/>
              <w:bottom w:w="100" w:type="dxa"/>
              <w:left w:w="120" w:type="dxa"/>
              <w:right w:w="120" w:type="dxa"/>
            </w:tcMar>
          </w:tcPr>
          <w:p>
            <w:pPr>
              <w:jc w:val="left"/>
            </w:pPr>
            <w:r>
              <w:rPr>
                <w:sz w:val="19"/>
              </w:rPr>
              <w:t>rad</w:t>
            </w:r>
          </w:p>
        </w:tc>
        <w:tc>
          <w:tcPr>
            <w:tcW w:type="dxa" w:w="1872"/>
            <w:shd w:fill="F0F4F8"/>
            <w:tcMar>
              <w:top w:w="100" w:type="dxa"/>
              <w:bottom w:w="100" w:type="dxa"/>
              <w:left w:w="120" w:type="dxa"/>
              <w:right w:w="120" w:type="dxa"/>
            </w:tcMar>
          </w:tcPr>
          <w:p>
            <w:pPr>
              <w:jc w:val="center"/>
            </w:pPr>
            <w:r>
              <w:rPr>
                <w:sz w:val="19"/>
              </w:rPr>
              <w:t>Integer</w:t>
            </w:r>
          </w:p>
        </w:tc>
        <w:tc>
          <w:tcPr>
            <w:tcW w:type="dxa" w:w="5760"/>
            <w:shd w:fill="F0F4F8"/>
            <w:tcMar>
              <w:top w:w="100" w:type="dxa"/>
              <w:bottom w:w="100" w:type="dxa"/>
              <w:left w:w="120" w:type="dxa"/>
              <w:right w:w="120" w:type="dxa"/>
            </w:tcMar>
          </w:tcPr>
          <w:p>
            <w:pPr>
              <w:jc w:val="left"/>
            </w:pPr>
            <w:r>
              <w:rPr>
                <w:sz w:val="19"/>
              </w:rPr>
              <w:t>Index of accessibility to radial highways</w:t>
            </w:r>
          </w:p>
        </w:tc>
      </w:tr>
      <w:tr>
        <w:tc>
          <w:tcPr>
            <w:tcW w:type="dxa" w:w="1728"/>
            <w:shd w:fill="FFFFFF"/>
            <w:tcMar>
              <w:top w:w="100" w:type="dxa"/>
              <w:bottom w:w="100" w:type="dxa"/>
              <w:left w:w="120" w:type="dxa"/>
              <w:right w:w="120" w:type="dxa"/>
            </w:tcMar>
          </w:tcPr>
          <w:p>
            <w:pPr>
              <w:jc w:val="left"/>
            </w:pPr>
            <w:r>
              <w:rPr>
                <w:sz w:val="19"/>
              </w:rPr>
              <w:t>tax</w:t>
            </w:r>
          </w:p>
        </w:tc>
        <w:tc>
          <w:tcPr>
            <w:tcW w:type="dxa" w:w="1872"/>
            <w:shd w:fill="FFFFFF"/>
            <w:tcMar>
              <w:top w:w="100" w:type="dxa"/>
              <w:bottom w:w="100" w:type="dxa"/>
              <w:left w:w="120" w:type="dxa"/>
              <w:right w:w="120" w:type="dxa"/>
            </w:tcMar>
          </w:tcPr>
          <w:p>
            <w:pPr>
              <w:jc w:val="center"/>
            </w:pPr>
            <w:r>
              <w:rPr>
                <w:sz w:val="19"/>
              </w:rPr>
              <w:t>Integer</w:t>
            </w:r>
          </w:p>
        </w:tc>
        <w:tc>
          <w:tcPr>
            <w:tcW w:type="dxa" w:w="5760"/>
            <w:shd w:fill="FFFFFF"/>
            <w:tcMar>
              <w:top w:w="100" w:type="dxa"/>
              <w:bottom w:w="100" w:type="dxa"/>
              <w:left w:w="120" w:type="dxa"/>
              <w:right w:w="120" w:type="dxa"/>
            </w:tcMar>
          </w:tcPr>
          <w:p>
            <w:pPr>
              <w:jc w:val="left"/>
            </w:pPr>
            <w:r>
              <w:rPr>
                <w:sz w:val="19"/>
              </w:rPr>
              <w:t>Full-value property-tax rate per $10,000</w:t>
            </w:r>
          </w:p>
        </w:tc>
      </w:tr>
      <w:tr>
        <w:tc>
          <w:tcPr>
            <w:tcW w:type="dxa" w:w="1728"/>
            <w:shd w:fill="F0F4F8"/>
            <w:tcMar>
              <w:top w:w="100" w:type="dxa"/>
              <w:bottom w:w="100" w:type="dxa"/>
              <w:left w:w="120" w:type="dxa"/>
              <w:right w:w="120" w:type="dxa"/>
            </w:tcMar>
          </w:tcPr>
          <w:p>
            <w:pPr>
              <w:jc w:val="left"/>
            </w:pPr>
            <w:r>
              <w:rPr>
                <w:sz w:val="19"/>
              </w:rPr>
              <w:t>ptratio</w:t>
            </w:r>
          </w:p>
        </w:tc>
        <w:tc>
          <w:tcPr>
            <w:tcW w:type="dxa" w:w="1872"/>
            <w:shd w:fill="F0F4F8"/>
            <w:tcMar>
              <w:top w:w="100" w:type="dxa"/>
              <w:bottom w:w="100" w:type="dxa"/>
              <w:left w:w="120" w:type="dxa"/>
              <w:right w:w="120" w:type="dxa"/>
            </w:tcMar>
          </w:tcPr>
          <w:p>
            <w:pPr>
              <w:jc w:val="center"/>
            </w:pPr>
            <w:r>
              <w:rPr>
                <w:sz w:val="19"/>
              </w:rPr>
              <w:t>Continuous</w:t>
            </w:r>
          </w:p>
        </w:tc>
        <w:tc>
          <w:tcPr>
            <w:tcW w:type="dxa" w:w="5760"/>
            <w:shd w:fill="F0F4F8"/>
            <w:tcMar>
              <w:top w:w="100" w:type="dxa"/>
              <w:bottom w:w="100" w:type="dxa"/>
              <w:left w:w="120" w:type="dxa"/>
              <w:right w:w="120" w:type="dxa"/>
            </w:tcMar>
          </w:tcPr>
          <w:p>
            <w:pPr>
              <w:jc w:val="left"/>
            </w:pPr>
            <w:r>
              <w:rPr>
                <w:sz w:val="19"/>
              </w:rPr>
              <w:t>Pupil-teacher ratio by town</w:t>
            </w:r>
          </w:p>
        </w:tc>
      </w:tr>
      <w:tr>
        <w:tc>
          <w:tcPr>
            <w:tcW w:type="dxa" w:w="1728"/>
            <w:shd w:fill="FFFFFF"/>
            <w:tcMar>
              <w:top w:w="100" w:type="dxa"/>
              <w:bottom w:w="100" w:type="dxa"/>
              <w:left w:w="120" w:type="dxa"/>
              <w:right w:w="120" w:type="dxa"/>
            </w:tcMar>
          </w:tcPr>
          <w:p>
            <w:pPr>
              <w:jc w:val="left"/>
            </w:pPr>
            <w:r>
              <w:rPr>
                <w:sz w:val="19"/>
              </w:rPr>
              <w:t>black</w:t>
            </w:r>
          </w:p>
        </w:tc>
        <w:tc>
          <w:tcPr>
            <w:tcW w:type="dxa" w:w="1872"/>
            <w:shd w:fill="FFFFFF"/>
            <w:tcMar>
              <w:top w:w="100" w:type="dxa"/>
              <w:bottom w:w="100" w:type="dxa"/>
              <w:left w:w="120" w:type="dxa"/>
              <w:right w:w="120" w:type="dxa"/>
            </w:tcMar>
          </w:tcPr>
          <w:p>
            <w:pPr>
              <w:jc w:val="center"/>
            </w:pPr>
            <w:r>
              <w:rPr>
                <w:sz w:val="19"/>
              </w:rPr>
              <w:t>Continuous</w:t>
            </w:r>
          </w:p>
        </w:tc>
        <w:tc>
          <w:tcPr>
            <w:tcW w:type="dxa" w:w="5760"/>
            <w:shd w:fill="FFFFFF"/>
            <w:tcMar>
              <w:top w:w="100" w:type="dxa"/>
              <w:bottom w:w="100" w:type="dxa"/>
              <w:left w:w="120" w:type="dxa"/>
              <w:right w:w="120" w:type="dxa"/>
            </w:tcMar>
          </w:tcPr>
          <w:p>
            <w:pPr>
              <w:jc w:val="left"/>
            </w:pPr>
            <w:r>
              <w:rPr>
                <w:sz w:val="19"/>
              </w:rPr>
              <w:t>1000(Bk - 0.63)^2 where Bk is the proportion of Black residents by town</w:t>
            </w:r>
          </w:p>
        </w:tc>
      </w:tr>
      <w:tr>
        <w:tc>
          <w:tcPr>
            <w:tcW w:type="dxa" w:w="1728"/>
            <w:shd w:fill="F0F4F8"/>
            <w:tcMar>
              <w:top w:w="100" w:type="dxa"/>
              <w:bottom w:w="100" w:type="dxa"/>
              <w:left w:w="120" w:type="dxa"/>
              <w:right w:w="120" w:type="dxa"/>
            </w:tcMar>
          </w:tcPr>
          <w:p>
            <w:pPr>
              <w:jc w:val="left"/>
            </w:pPr>
            <w:r>
              <w:rPr>
                <w:sz w:val="19"/>
              </w:rPr>
              <w:t>lstat</w:t>
            </w:r>
          </w:p>
        </w:tc>
        <w:tc>
          <w:tcPr>
            <w:tcW w:type="dxa" w:w="1872"/>
            <w:shd w:fill="F0F4F8"/>
            <w:tcMar>
              <w:top w:w="100" w:type="dxa"/>
              <w:bottom w:w="100" w:type="dxa"/>
              <w:left w:w="120" w:type="dxa"/>
              <w:right w:w="120" w:type="dxa"/>
            </w:tcMar>
          </w:tcPr>
          <w:p>
            <w:pPr>
              <w:jc w:val="center"/>
            </w:pPr>
            <w:r>
              <w:rPr>
                <w:sz w:val="19"/>
              </w:rPr>
              <w:t>Continuous</w:t>
            </w:r>
          </w:p>
        </w:tc>
        <w:tc>
          <w:tcPr>
            <w:tcW w:type="dxa" w:w="5760"/>
            <w:shd w:fill="F0F4F8"/>
            <w:tcMar>
              <w:top w:w="100" w:type="dxa"/>
              <w:bottom w:w="100" w:type="dxa"/>
              <w:left w:w="120" w:type="dxa"/>
              <w:right w:w="120" w:type="dxa"/>
            </w:tcMar>
          </w:tcPr>
          <w:p>
            <w:pPr>
              <w:jc w:val="left"/>
            </w:pPr>
            <w:r>
              <w:rPr>
                <w:sz w:val="19"/>
              </w:rPr>
              <w:t>Percentage lower status of the population</w:t>
            </w:r>
          </w:p>
        </w:tc>
      </w:tr>
      <w:tr>
        <w:tc>
          <w:tcPr>
            <w:tcW w:type="dxa" w:w="1728"/>
            <w:shd w:fill="FFFFFF"/>
            <w:tcMar>
              <w:top w:w="100" w:type="dxa"/>
              <w:bottom w:w="100" w:type="dxa"/>
              <w:left w:w="120" w:type="dxa"/>
              <w:right w:w="120" w:type="dxa"/>
            </w:tcMar>
          </w:tcPr>
          <w:p>
            <w:pPr>
              <w:jc w:val="left"/>
            </w:pPr>
            <w:r>
              <w:rPr>
                <w:sz w:val="19"/>
              </w:rPr>
              <w:t>medv</w:t>
            </w:r>
          </w:p>
        </w:tc>
        <w:tc>
          <w:tcPr>
            <w:tcW w:type="dxa" w:w="1872"/>
            <w:shd w:fill="FFFFFF"/>
            <w:tcMar>
              <w:top w:w="100" w:type="dxa"/>
              <w:bottom w:w="100" w:type="dxa"/>
              <w:left w:w="120" w:type="dxa"/>
              <w:right w:w="120" w:type="dxa"/>
            </w:tcMar>
          </w:tcPr>
          <w:p>
            <w:pPr>
              <w:jc w:val="center"/>
            </w:pPr>
            <w:r>
              <w:rPr>
                <w:sz w:val="19"/>
              </w:rPr>
              <w:t>Continuous</w:t>
            </w:r>
          </w:p>
        </w:tc>
        <w:tc>
          <w:tcPr>
            <w:tcW w:type="dxa" w:w="5760"/>
            <w:shd w:fill="FFFFFF"/>
            <w:tcMar>
              <w:top w:w="100" w:type="dxa"/>
              <w:bottom w:w="100" w:type="dxa"/>
              <w:left w:w="120" w:type="dxa"/>
              <w:right w:w="120" w:type="dxa"/>
            </w:tcMar>
          </w:tcPr>
          <w:p>
            <w:pPr>
              <w:jc w:val="left"/>
            </w:pPr>
            <w:r>
              <w:rPr>
                <w:sz w:val="19"/>
              </w:rPr>
              <w:t>Median value of owner-occupied homes in $1000's (Target Variable)</w:t>
            </w:r>
          </w:p>
        </w:tc>
      </w:tr>
    </w:tbl>
    <w:p>
      <w:pPr>
        <w:keepNext/>
        <w:spacing w:before="360" w:after="160"/>
        <w:pBdr>
          <w:bottom w:val="single" w:sz="12" w:space="4" w:color="008080"/>
        </w:pBdr>
      </w:pPr>
      <w:r>
        <w:rPr>
          <w:rFonts w:ascii="Arial" w:hAnsi="Arial"/>
          <w:b/>
          <w:color w:val="1B365D"/>
          <w:sz w:val="36"/>
        </w:rPr>
        <w:t>2. Exploratory Statistical Analysis &amp; Hypothesis Testing</w:t>
      </w:r>
    </w:p>
    <w:p>
      <w:pPr>
        <w:keepNext/>
        <w:spacing w:before="280" w:after="120"/>
      </w:pPr>
      <w:r>
        <w:rPr>
          <w:rFonts w:ascii="Arial" w:hAnsi="Arial"/>
          <w:b/>
          <w:color w:val="008080"/>
          <w:sz w:val="28"/>
        </w:rPr>
        <w:t>2.1 Data Ingestion and Summary Statistics</w:t>
      </w:r>
    </w:p>
    <w:p>
      <w:r>
        <w:t>Data ingestion and preliminary data evaluation were performed in R. The initial step verified data integrity, missing values, and distributional shapes.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DDDDD"/>
              <w:left w:val="single" w:sz="12" w:space="0" w:color="008080"/>
              <w:bottom w:val="single" w:sz="4" w:space="0" w:color="DDDDDD"/>
              <w:right w:val="single" w:sz="4" w:space="0" w:color="DDDDDD"/>
            </w:tcBorders>
          </w:tcPr>
          <w:p>
            <w:pPr>
              <w:spacing w:after="0" w:line="240" w:lineRule="auto"/>
            </w:pPr>
            <w:r>
              <w:rPr>
                <w:rFonts w:ascii="Consolas" w:hAnsi="Consolas"/>
                <w:color w:val="222222"/>
                <w:sz w:val="19"/>
              </w:rPr>
              <w:t># R Code Snippet 1: Loading Data and Summary Statistics</w:t>
              <w:br/>
              <w:t>library(MASS)</w:t>
              <w:br/>
              <w:t>library(tidyverse)</w:t>
              <w:br/>
              <w:t>library(e1071)</w:t>
              <w:br/>
              <w:t>library(corrplot)</w:t>
              <w:br/>
              <w:t>library(car)</w:t>
              <w:br/>
              <w:br/>
              <w:t>data("Boston")</w:t>
              <w:br/>
              <w:t>housing_df &lt;- Boston</w:t>
              <w:br/>
              <w:t>cat("Missing Values Total:", sum(is.na(housing_df)), "\n")</w:t>
              <w:br/>
              <w:t>summary(housing_df$medv)</w:t>
              <w:br/>
              <w:t>cat("Skewness of MEDV:", skewness(housing_df$medv), "\n")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40"/>
            </w:pPr>
            <w:r>
              <w:rPr>
                <w:b/>
                <w:color w:val="1B365D"/>
                <w:sz w:val="21"/>
              </w:rPr>
              <w:t>📌 SUMMARY METRICS</w:t>
              <w:br/>
            </w:r>
            <w:r>
              <w:rPr>
                <w:i/>
                <w:sz w:val="20"/>
              </w:rPr>
              <w:t>Summary Statistics Output for Target Variable (medv):</w:t>
              <w:br/>
              <w:t>Min: 5.00 | 1st Qu: 17.02 | Median: 21.20 | Mean: 22.53 | 3rd Qu: 25.00 | Max: 50.00</w:t>
              <w:br/>
              <w:t>Calculated Skewness: 1.108 (Moderate right-skewness observed due to upper-bound truncation at $50,000).</w:t>
            </w:r>
          </w:p>
        </w:tc>
      </w:tr>
    </w:tbl>
    <w:p>
      <w:pPr>
        <w:spacing w:after="80"/>
      </w:pPr>
    </w:p>
    <w:p>
      <w:pPr>
        <w:keepNext/>
        <w:spacing w:before="280" w:after="120"/>
      </w:pPr>
      <w:r>
        <w:rPr>
          <w:rFonts w:ascii="Arial" w:hAnsi="Arial"/>
          <w:b/>
          <w:color w:val="008080"/>
          <w:sz w:val="28"/>
        </w:rPr>
        <w:t>2.2 Hypothesis Testing</w:t>
      </w:r>
    </w:p>
    <w:p>
      <w:r>
        <w:t>To establish statistically sound relationships prior to modeling, two formal hypothesis tests were conducted.</w:t>
      </w:r>
    </w:p>
    <w:p>
      <w:pPr>
        <w:keepNext/>
        <w:spacing w:before="200" w:after="80"/>
      </w:pPr>
      <w:r>
        <w:rPr>
          <w:rFonts w:ascii="Arial" w:hAnsi="Arial"/>
          <w:b/>
          <w:color w:val="1B365D"/>
          <w:sz w:val="24"/>
        </w:rPr>
        <w:t>Hypothesis Test 1: Impact of Charles River Location (chas) on Property Values</w:t>
      </w:r>
    </w:p>
    <w:p>
      <w:r>
        <w:t>• Null Hypothesis (H₀): The mean median value of homes (medv) bounded by the Charles River (chas = 1) is equal to homes not bounded by the river (chas = 0).</w:t>
        <w:br/>
        <w:t>• Alternative Hypothesis (H₁): The mean median value of homes bounded by the Charles River is significantly higher than those not bounded.</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DDDDD"/>
              <w:left w:val="single" w:sz="12" w:space="0" w:color="008080"/>
              <w:bottom w:val="single" w:sz="4" w:space="0" w:color="DDDDDD"/>
              <w:right w:val="single" w:sz="4" w:space="0" w:color="DDDDDD"/>
            </w:tcBorders>
          </w:tcPr>
          <w:p>
            <w:pPr>
              <w:spacing w:after="0" w:line="240" w:lineRule="auto"/>
            </w:pPr>
            <w:r>
              <w:rPr>
                <w:rFonts w:ascii="Consolas" w:hAnsi="Consolas"/>
                <w:color w:val="222222"/>
                <w:sz w:val="19"/>
              </w:rPr>
              <w:t># R Code Snippet 2: Welch Two-Sample t-test for River Bounds</w:t>
              <w:br/>
              <w:t>t_test_chas &lt;- t.test(medv ~ chas, data = housing_df, alternative = "less")</w:t>
              <w:br/>
              <w:t>print(t_test_chas)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40"/>
            </w:pPr>
            <w:r>
              <w:rPr>
                <w:b/>
                <w:color w:val="1B365D"/>
                <w:sz w:val="21"/>
              </w:rPr>
              <w:t>📌 KEY INSIGHT / CALLOUT</w:t>
              <w:br/>
            </w:r>
            <w:r>
              <w:rPr>
                <w:i/>
                <w:sz w:val="20"/>
              </w:rPr>
              <w:t>Welch Two-Sample t-test Results:</w:t>
              <w:br/>
              <w:t>t = -3.1134, df = 36.876, p-value = 0.001738</w:t>
              <w:br/>
              <w:t>Sample estimates: Mean in group 0 = 22.09, Mean in group 1 = 28.44</w:t>
              <w:br/>
              <w:t>Interpretation: Since p-value (0.0017) &lt; alpha (0.05), we reject H₀. Tracts bordering the Charles River possess statistically significant higher property values (mean difference of $6,350).</w:t>
            </w:r>
          </w:p>
        </w:tc>
      </w:tr>
    </w:tbl>
    <w:p>
      <w:pPr>
        <w:spacing w:after="80"/>
      </w:pPr>
    </w:p>
    <w:p>
      <w:pPr>
        <w:keepNext/>
        <w:spacing w:before="200" w:after="80"/>
      </w:pPr>
      <w:r>
        <w:rPr>
          <w:rFonts w:ascii="Arial" w:hAnsi="Arial"/>
          <w:b/>
          <w:color w:val="1B365D"/>
          <w:sz w:val="24"/>
        </w:rPr>
        <w:t>Hypothesis Test 2: Correlation Analysis (rooms vs. lstat)</w:t>
      </w:r>
    </w:p>
    <w:p>
      <w:r>
        <w:t>• Null Hypothesis (H₀): The Pearson correlation coefficient between average number of rooms (rm) and lower status population percentage (lstat) is equal to zero (r = 0).</w:t>
        <w:br/>
        <w:t>• Alternative Hypothesis (H₁): The correlation coefficient between rm and lstat is significantly different from zero (r ≠ 0).</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DDDDD"/>
              <w:left w:val="single" w:sz="12" w:space="0" w:color="008080"/>
              <w:bottom w:val="single" w:sz="4" w:space="0" w:color="DDDDDD"/>
              <w:right w:val="single" w:sz="4" w:space="0" w:color="DDDDDD"/>
            </w:tcBorders>
          </w:tcPr>
          <w:p>
            <w:pPr>
              <w:spacing w:after="0" w:line="240" w:lineRule="auto"/>
            </w:pPr>
            <w:r>
              <w:rPr>
                <w:rFonts w:ascii="Consolas" w:hAnsi="Consolas"/>
                <w:color w:val="222222"/>
                <w:sz w:val="19"/>
              </w:rPr>
              <w:t># R Code Snippet 3: Pearson Correlation and Normality Test</w:t>
              <w:br/>
              <w:t>cor_test_rm_lstat &lt;- cor.test(housing_df$rm, housing_df$lstat, method = "pearson")</w:t>
              <w:br/>
              <w:t>print(cor_test_rm_lstat)</w:t>
              <w:br/>
              <w:t>shapiro_medv &lt;- shapiro.test(housing_df$medv)</w:t>
              <w:br/>
              <w:t>print(shapiro_medv)</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40"/>
            </w:pPr>
            <w:r>
              <w:rPr>
                <w:b/>
                <w:color w:val="1B365D"/>
                <w:sz w:val="21"/>
              </w:rPr>
              <w:t>📌 KEY INSIGHT / CALLOUT</w:t>
              <w:br/>
            </w:r>
            <w:r>
              <w:rPr>
                <w:i/>
                <w:sz w:val="20"/>
              </w:rPr>
              <w:t>Correlation &amp; Normality Results:</w:t>
              <w:br/>
              <w:t>Pearson Correlation (rm vs lstat): r = -0.6138, p-value &lt; 2.2e-16 (Strong inverse relationship).</w:t>
              <w:br/>
              <w:t>Shapiro-Wilk Normality Test (medv): W = 0.9097, p-value = 3.32e-16 (Normality rejected for untransformed target).</w:t>
            </w:r>
          </w:p>
        </w:tc>
      </w:tr>
    </w:tbl>
    <w:p>
      <w:pPr>
        <w:spacing w:after="80"/>
      </w:pPr>
    </w:p>
    <w:p>
      <w:pPr>
        <w:keepNext/>
        <w:spacing w:before="360" w:after="160"/>
        <w:pBdr>
          <w:bottom w:val="single" w:sz="12" w:space="4" w:color="008080"/>
        </w:pBdr>
      </w:pPr>
      <w:r>
        <w:rPr>
          <w:rFonts w:ascii="Arial" w:hAnsi="Arial"/>
          <w:b/>
          <w:color w:val="1B365D"/>
          <w:sz w:val="36"/>
        </w:rPr>
        <w:t>3. Predictive Model Building &amp; Cross-Validation</w:t>
      </w:r>
    </w:p>
    <w:p>
      <w:pPr>
        <w:keepNext/>
        <w:spacing w:before="280" w:after="120"/>
      </w:pPr>
      <w:r>
        <w:rPr>
          <w:rFonts w:ascii="Arial" w:hAnsi="Arial"/>
          <w:b/>
          <w:color w:val="008080"/>
          <w:sz w:val="28"/>
        </w:rPr>
        <w:t>3.1 Data Partitioning &amp; Methodology</w:t>
      </w:r>
    </w:p>
    <w:p>
      <w:r>
        <w:t>To prevent overfitting and ensure reliable out-of-sample performance evaluation, the dataset was partitioned into an 80% Training Set (406 observations) and a 20% Testing Set (100 observations) using a random seed for reproducibility. Furthermore, 10-Fold Cross-Validation was implemented during training.</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DDDDD"/>
              <w:left w:val="single" w:sz="12" w:space="0" w:color="008080"/>
              <w:bottom w:val="single" w:sz="4" w:space="0" w:color="DDDDDD"/>
              <w:right w:val="single" w:sz="4" w:space="0" w:color="DDDDDD"/>
            </w:tcBorders>
          </w:tcPr>
          <w:p>
            <w:pPr>
              <w:spacing w:after="0" w:line="240" w:lineRule="auto"/>
            </w:pPr>
            <w:r>
              <w:rPr>
                <w:rFonts w:ascii="Consolas" w:hAnsi="Consolas"/>
                <w:color w:val="222222"/>
                <w:sz w:val="19"/>
              </w:rPr>
              <w:t># R Code Snippet 4: Data Splitting and 10-Fold CV Setup</w:t>
              <w:br/>
              <w:t>library(caret)</w:t>
              <w:br/>
              <w:t>set.seed(123)</w:t>
              <w:br/>
              <w:t>train_idx &lt;- createDataPartition(housing_df$medv, p = 0.80, list = FALSE)</w:t>
              <w:br/>
              <w:t>train_data &lt;- housing_df[train_idx, ]</w:t>
              <w:br/>
              <w:t>test_data  &lt;- housing_df[-train_idx, ]</w:t>
              <w:br/>
              <w:br/>
              <w:t>train_control &lt;- trainControl(method = "cv", number = 10)</w:t>
              <w:br/>
              <w:t>model_lm_cv &lt;- train(medv ~ ., data = train_data, method = "lm", trControl = train_control)</w:t>
              <w:br/>
              <w:t>summary(model_lm_cv$finalModel)</w:t>
            </w:r>
          </w:p>
        </w:tc>
      </w:tr>
    </w:tbl>
    <w:p>
      <w:pPr>
        <w:spacing w:after="80"/>
      </w:pPr>
    </w:p>
    <w:p>
      <w:pPr>
        <w:keepNext/>
        <w:spacing w:before="280" w:after="120"/>
      </w:pPr>
      <w:r>
        <w:rPr>
          <w:rFonts w:ascii="Arial" w:hAnsi="Arial"/>
          <w:b/>
          <w:color w:val="008080"/>
          <w:sz w:val="28"/>
        </w:rPr>
        <w:t>3.2 Baseline Linear Regression Model Results</w:t>
      </w:r>
    </w:p>
    <w:p>
      <w:r>
        <w:t>The initial Multiple Linear Regression model was fit on the training data using all 13 predictor variables.</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CCCCC"/>
          <w:insideV w:val="none"/>
          <w:left w:val="none"/>
          <w:right w:val="none"/>
        </w:tblBorders>
      </w:tblPr>
      <w:tblGrid>
        <w:gridCol w:w="1872"/>
        <w:gridCol w:w="1872"/>
        <w:gridCol w:w="1872"/>
        <w:gridCol w:w="1872"/>
        <w:gridCol w:w="1872"/>
      </w:tblGrid>
      <w:tr>
        <w:trPr>
          <w:tblHeader/>
        </w:trPr>
        <w:tc>
          <w:tcPr>
            <w:tcW w:type="dxa" w:w="2160"/>
            <w:shd w:fill="1B365D"/>
            <w:tcMar>
              <w:top w:w="120" w:type="dxa"/>
              <w:bottom w:w="120" w:type="dxa"/>
              <w:left w:w="120" w:type="dxa"/>
              <w:right w:w="120" w:type="dxa"/>
            </w:tcMar>
          </w:tcPr>
          <w:p>
            <w:pPr>
              <w:jc w:val="left"/>
            </w:pPr>
            <w:r>
              <w:rPr>
                <w:b/>
                <w:color w:val="FFFFFF"/>
                <w:sz w:val="20"/>
              </w:rPr>
              <w:t>Predictor</w:t>
            </w:r>
          </w:p>
        </w:tc>
        <w:tc>
          <w:tcPr>
            <w:tcW w:type="dxa" w:w="1728"/>
            <w:shd w:fill="1B365D"/>
            <w:tcMar>
              <w:top w:w="120" w:type="dxa"/>
              <w:bottom w:w="120" w:type="dxa"/>
              <w:left w:w="120" w:type="dxa"/>
              <w:right w:w="120" w:type="dxa"/>
            </w:tcMar>
          </w:tcPr>
          <w:p>
            <w:pPr>
              <w:jc w:val="right"/>
            </w:pPr>
            <w:r>
              <w:rPr>
                <w:b/>
                <w:color w:val="FFFFFF"/>
                <w:sz w:val="20"/>
              </w:rPr>
              <w:t>Estimate</w:t>
            </w:r>
          </w:p>
        </w:tc>
        <w:tc>
          <w:tcPr>
            <w:tcW w:type="dxa" w:w="1728"/>
            <w:shd w:fill="1B365D"/>
            <w:tcMar>
              <w:top w:w="120" w:type="dxa"/>
              <w:bottom w:w="120" w:type="dxa"/>
              <w:left w:w="120" w:type="dxa"/>
              <w:right w:w="120" w:type="dxa"/>
            </w:tcMar>
          </w:tcPr>
          <w:p>
            <w:pPr>
              <w:jc w:val="right"/>
            </w:pPr>
            <w:r>
              <w:rPr>
                <w:b/>
                <w:color w:val="FFFFFF"/>
                <w:sz w:val="20"/>
              </w:rPr>
              <w:t>Std. Error</w:t>
            </w:r>
          </w:p>
        </w:tc>
        <w:tc>
          <w:tcPr>
            <w:tcW w:type="dxa" w:w="1728"/>
            <w:shd w:fill="1B365D"/>
            <w:tcMar>
              <w:top w:w="120" w:type="dxa"/>
              <w:bottom w:w="120" w:type="dxa"/>
              <w:left w:w="120" w:type="dxa"/>
              <w:right w:w="120" w:type="dxa"/>
            </w:tcMar>
          </w:tcPr>
          <w:p>
            <w:pPr>
              <w:jc w:val="right"/>
            </w:pPr>
            <w:r>
              <w:rPr>
                <w:b/>
                <w:color w:val="FFFFFF"/>
                <w:sz w:val="20"/>
              </w:rPr>
              <w:t>t-statistic</w:t>
            </w:r>
          </w:p>
        </w:tc>
        <w:tc>
          <w:tcPr>
            <w:tcW w:type="dxa" w:w="2016"/>
            <w:shd w:fill="1B365D"/>
            <w:tcMar>
              <w:top w:w="120" w:type="dxa"/>
              <w:bottom w:w="120" w:type="dxa"/>
              <w:left w:w="120" w:type="dxa"/>
              <w:right w:w="120" w:type="dxa"/>
            </w:tcMar>
          </w:tcPr>
          <w:p>
            <w:pPr>
              <w:jc w:val="center"/>
            </w:pPr>
            <w:r>
              <w:rPr>
                <w:b/>
                <w:color w:val="FFFFFF"/>
                <w:sz w:val="20"/>
              </w:rPr>
              <w:t>p-value</w:t>
            </w:r>
          </w:p>
        </w:tc>
      </w:tr>
      <w:tr>
        <w:tc>
          <w:tcPr>
            <w:tcW w:type="dxa" w:w="2160"/>
            <w:shd w:fill="F0F4F8"/>
            <w:tcMar>
              <w:top w:w="100" w:type="dxa"/>
              <w:bottom w:w="100" w:type="dxa"/>
              <w:left w:w="120" w:type="dxa"/>
              <w:right w:w="120" w:type="dxa"/>
            </w:tcMar>
          </w:tcPr>
          <w:p>
            <w:pPr>
              <w:jc w:val="left"/>
            </w:pPr>
            <w:r>
              <w:rPr>
                <w:sz w:val="19"/>
              </w:rPr>
              <w:t>(Intercept)</w:t>
            </w:r>
          </w:p>
        </w:tc>
        <w:tc>
          <w:tcPr>
            <w:tcW w:type="dxa" w:w="1728"/>
            <w:shd w:fill="F0F4F8"/>
            <w:tcMar>
              <w:top w:w="100" w:type="dxa"/>
              <w:bottom w:w="100" w:type="dxa"/>
              <w:left w:w="120" w:type="dxa"/>
              <w:right w:w="120" w:type="dxa"/>
            </w:tcMar>
          </w:tcPr>
          <w:p>
            <w:pPr>
              <w:jc w:val="right"/>
            </w:pPr>
            <w:r>
              <w:rPr>
                <w:sz w:val="19"/>
              </w:rPr>
              <w:t>36.459</w:t>
            </w:r>
          </w:p>
        </w:tc>
        <w:tc>
          <w:tcPr>
            <w:tcW w:type="dxa" w:w="1728"/>
            <w:shd w:fill="F0F4F8"/>
            <w:tcMar>
              <w:top w:w="100" w:type="dxa"/>
              <w:bottom w:w="100" w:type="dxa"/>
              <w:left w:w="120" w:type="dxa"/>
              <w:right w:w="120" w:type="dxa"/>
            </w:tcMar>
          </w:tcPr>
          <w:p>
            <w:pPr>
              <w:jc w:val="right"/>
            </w:pPr>
            <w:r>
              <w:rPr>
                <w:sz w:val="19"/>
              </w:rPr>
              <w:t>5.103</w:t>
            </w:r>
          </w:p>
        </w:tc>
        <w:tc>
          <w:tcPr>
            <w:tcW w:type="dxa" w:w="1728"/>
            <w:shd w:fill="F0F4F8"/>
            <w:tcMar>
              <w:top w:w="100" w:type="dxa"/>
              <w:bottom w:w="100" w:type="dxa"/>
              <w:left w:w="120" w:type="dxa"/>
              <w:right w:w="120" w:type="dxa"/>
            </w:tcMar>
          </w:tcPr>
          <w:p>
            <w:pPr>
              <w:jc w:val="right"/>
            </w:pPr>
            <w:r>
              <w:rPr>
                <w:sz w:val="19"/>
              </w:rPr>
              <w:t>7.144</w:t>
            </w:r>
          </w:p>
        </w:tc>
        <w:tc>
          <w:tcPr>
            <w:tcW w:type="dxa" w:w="2016"/>
            <w:shd w:fill="F0F4F8"/>
            <w:tcMar>
              <w:top w:w="100" w:type="dxa"/>
              <w:bottom w:w="100" w:type="dxa"/>
              <w:left w:w="120" w:type="dxa"/>
              <w:right w:w="120" w:type="dxa"/>
            </w:tcMar>
          </w:tcPr>
          <w:p>
            <w:pPr>
              <w:jc w:val="center"/>
            </w:pPr>
            <w:r>
              <w:rPr>
                <w:sz w:val="19"/>
              </w:rPr>
              <w:t>&lt; 0.001 ***</w:t>
            </w:r>
          </w:p>
        </w:tc>
      </w:tr>
      <w:tr>
        <w:tc>
          <w:tcPr>
            <w:tcW w:type="dxa" w:w="2160"/>
            <w:shd w:fill="FFFFFF"/>
            <w:tcMar>
              <w:top w:w="100" w:type="dxa"/>
              <w:bottom w:w="100" w:type="dxa"/>
              <w:left w:w="120" w:type="dxa"/>
              <w:right w:w="120" w:type="dxa"/>
            </w:tcMar>
          </w:tcPr>
          <w:p>
            <w:pPr>
              <w:jc w:val="left"/>
            </w:pPr>
            <w:r>
              <w:rPr>
                <w:sz w:val="19"/>
              </w:rPr>
              <w:t>rm (Rooms)</w:t>
            </w:r>
          </w:p>
        </w:tc>
        <w:tc>
          <w:tcPr>
            <w:tcW w:type="dxa" w:w="1728"/>
            <w:shd w:fill="FFFFFF"/>
            <w:tcMar>
              <w:top w:w="100" w:type="dxa"/>
              <w:bottom w:w="100" w:type="dxa"/>
              <w:left w:w="120" w:type="dxa"/>
              <w:right w:w="120" w:type="dxa"/>
            </w:tcMar>
          </w:tcPr>
          <w:p>
            <w:pPr>
              <w:jc w:val="right"/>
            </w:pPr>
            <w:r>
              <w:rPr>
                <w:sz w:val="19"/>
              </w:rPr>
              <w:t>3.810</w:t>
            </w:r>
          </w:p>
        </w:tc>
        <w:tc>
          <w:tcPr>
            <w:tcW w:type="dxa" w:w="1728"/>
            <w:shd w:fill="FFFFFF"/>
            <w:tcMar>
              <w:top w:w="100" w:type="dxa"/>
              <w:bottom w:w="100" w:type="dxa"/>
              <w:left w:w="120" w:type="dxa"/>
              <w:right w:w="120" w:type="dxa"/>
            </w:tcMar>
          </w:tcPr>
          <w:p>
            <w:pPr>
              <w:jc w:val="right"/>
            </w:pPr>
            <w:r>
              <w:rPr>
                <w:sz w:val="19"/>
              </w:rPr>
              <w:t>0.419</w:t>
            </w:r>
          </w:p>
        </w:tc>
        <w:tc>
          <w:tcPr>
            <w:tcW w:type="dxa" w:w="1728"/>
            <w:shd w:fill="FFFFFF"/>
            <w:tcMar>
              <w:top w:w="100" w:type="dxa"/>
              <w:bottom w:w="100" w:type="dxa"/>
              <w:left w:w="120" w:type="dxa"/>
              <w:right w:w="120" w:type="dxa"/>
            </w:tcMar>
          </w:tcPr>
          <w:p>
            <w:pPr>
              <w:jc w:val="right"/>
            </w:pPr>
            <w:r>
              <w:rPr>
                <w:sz w:val="19"/>
              </w:rPr>
              <w:t>9.093</w:t>
            </w:r>
          </w:p>
        </w:tc>
        <w:tc>
          <w:tcPr>
            <w:tcW w:type="dxa" w:w="2016"/>
            <w:shd w:fill="FFFFFF"/>
            <w:tcMar>
              <w:top w:w="100" w:type="dxa"/>
              <w:bottom w:w="100" w:type="dxa"/>
              <w:left w:w="120" w:type="dxa"/>
              <w:right w:w="120" w:type="dxa"/>
            </w:tcMar>
          </w:tcPr>
          <w:p>
            <w:pPr>
              <w:jc w:val="center"/>
            </w:pPr>
            <w:r>
              <w:rPr>
                <w:sz w:val="19"/>
              </w:rPr>
              <w:t>&lt; 0.001 ***</w:t>
            </w:r>
          </w:p>
        </w:tc>
      </w:tr>
      <w:tr>
        <w:tc>
          <w:tcPr>
            <w:tcW w:type="dxa" w:w="2160"/>
            <w:shd w:fill="F0F4F8"/>
            <w:tcMar>
              <w:top w:w="100" w:type="dxa"/>
              <w:bottom w:w="100" w:type="dxa"/>
              <w:left w:w="120" w:type="dxa"/>
              <w:right w:w="120" w:type="dxa"/>
            </w:tcMar>
          </w:tcPr>
          <w:p>
            <w:pPr>
              <w:jc w:val="left"/>
            </w:pPr>
            <w:r>
              <w:rPr>
                <w:sz w:val="19"/>
              </w:rPr>
              <w:t>lstat (% Lower Status)</w:t>
            </w:r>
          </w:p>
        </w:tc>
        <w:tc>
          <w:tcPr>
            <w:tcW w:type="dxa" w:w="1728"/>
            <w:shd w:fill="F0F4F8"/>
            <w:tcMar>
              <w:top w:w="100" w:type="dxa"/>
              <w:bottom w:w="100" w:type="dxa"/>
              <w:left w:w="120" w:type="dxa"/>
              <w:right w:w="120" w:type="dxa"/>
            </w:tcMar>
          </w:tcPr>
          <w:p>
            <w:pPr>
              <w:jc w:val="right"/>
            </w:pPr>
            <w:r>
              <w:rPr>
                <w:sz w:val="19"/>
              </w:rPr>
              <w:t>-0.522</w:t>
            </w:r>
          </w:p>
        </w:tc>
        <w:tc>
          <w:tcPr>
            <w:tcW w:type="dxa" w:w="1728"/>
            <w:shd w:fill="F0F4F8"/>
            <w:tcMar>
              <w:top w:w="100" w:type="dxa"/>
              <w:bottom w:w="100" w:type="dxa"/>
              <w:left w:w="120" w:type="dxa"/>
              <w:right w:w="120" w:type="dxa"/>
            </w:tcMar>
          </w:tcPr>
          <w:p>
            <w:pPr>
              <w:jc w:val="right"/>
            </w:pPr>
            <w:r>
              <w:rPr>
                <w:sz w:val="19"/>
              </w:rPr>
              <w:t>0.051</w:t>
            </w:r>
          </w:p>
        </w:tc>
        <w:tc>
          <w:tcPr>
            <w:tcW w:type="dxa" w:w="1728"/>
            <w:shd w:fill="F0F4F8"/>
            <w:tcMar>
              <w:top w:w="100" w:type="dxa"/>
              <w:bottom w:w="100" w:type="dxa"/>
              <w:left w:w="120" w:type="dxa"/>
              <w:right w:w="120" w:type="dxa"/>
            </w:tcMar>
          </w:tcPr>
          <w:p>
            <w:pPr>
              <w:jc w:val="right"/>
            </w:pPr>
            <w:r>
              <w:rPr>
                <w:sz w:val="19"/>
              </w:rPr>
              <w:t>-10.235</w:t>
            </w:r>
          </w:p>
        </w:tc>
        <w:tc>
          <w:tcPr>
            <w:tcW w:type="dxa" w:w="2016"/>
            <w:shd w:fill="F0F4F8"/>
            <w:tcMar>
              <w:top w:w="100" w:type="dxa"/>
              <w:bottom w:w="100" w:type="dxa"/>
              <w:left w:w="120" w:type="dxa"/>
              <w:right w:w="120" w:type="dxa"/>
            </w:tcMar>
          </w:tcPr>
          <w:p>
            <w:pPr>
              <w:jc w:val="center"/>
            </w:pPr>
            <w:r>
              <w:rPr>
                <w:sz w:val="19"/>
              </w:rPr>
              <w:t>&lt; 0.001 ***</w:t>
            </w:r>
          </w:p>
        </w:tc>
      </w:tr>
      <w:tr>
        <w:tc>
          <w:tcPr>
            <w:tcW w:type="dxa" w:w="2160"/>
            <w:shd w:fill="FFFFFF"/>
            <w:tcMar>
              <w:top w:w="100" w:type="dxa"/>
              <w:bottom w:w="100" w:type="dxa"/>
              <w:left w:w="120" w:type="dxa"/>
              <w:right w:w="120" w:type="dxa"/>
            </w:tcMar>
          </w:tcPr>
          <w:p>
            <w:pPr>
              <w:jc w:val="left"/>
            </w:pPr>
            <w:r>
              <w:rPr>
                <w:sz w:val="19"/>
              </w:rPr>
              <w:t>ptratio (Pupil-Teacher)</w:t>
            </w:r>
          </w:p>
        </w:tc>
        <w:tc>
          <w:tcPr>
            <w:tcW w:type="dxa" w:w="1728"/>
            <w:shd w:fill="FFFFFF"/>
            <w:tcMar>
              <w:top w:w="100" w:type="dxa"/>
              <w:bottom w:w="100" w:type="dxa"/>
              <w:left w:w="120" w:type="dxa"/>
              <w:right w:w="120" w:type="dxa"/>
            </w:tcMar>
          </w:tcPr>
          <w:p>
            <w:pPr>
              <w:jc w:val="right"/>
            </w:pPr>
            <w:r>
              <w:rPr>
                <w:sz w:val="19"/>
              </w:rPr>
              <w:t>-0.953</w:t>
            </w:r>
          </w:p>
        </w:tc>
        <w:tc>
          <w:tcPr>
            <w:tcW w:type="dxa" w:w="1728"/>
            <w:shd w:fill="FFFFFF"/>
            <w:tcMar>
              <w:top w:w="100" w:type="dxa"/>
              <w:bottom w:w="100" w:type="dxa"/>
              <w:left w:w="120" w:type="dxa"/>
              <w:right w:w="120" w:type="dxa"/>
            </w:tcMar>
          </w:tcPr>
          <w:p>
            <w:pPr>
              <w:jc w:val="right"/>
            </w:pPr>
            <w:r>
              <w:rPr>
                <w:sz w:val="19"/>
              </w:rPr>
              <w:t>0.131</w:t>
            </w:r>
          </w:p>
        </w:tc>
        <w:tc>
          <w:tcPr>
            <w:tcW w:type="dxa" w:w="1728"/>
            <w:shd w:fill="FFFFFF"/>
            <w:tcMar>
              <w:top w:w="100" w:type="dxa"/>
              <w:bottom w:w="100" w:type="dxa"/>
              <w:left w:w="120" w:type="dxa"/>
              <w:right w:w="120" w:type="dxa"/>
            </w:tcMar>
          </w:tcPr>
          <w:p>
            <w:pPr>
              <w:jc w:val="right"/>
            </w:pPr>
            <w:r>
              <w:rPr>
                <w:sz w:val="19"/>
              </w:rPr>
              <w:t>-7.275</w:t>
            </w:r>
          </w:p>
        </w:tc>
        <w:tc>
          <w:tcPr>
            <w:tcW w:type="dxa" w:w="2016"/>
            <w:shd w:fill="FFFFFF"/>
            <w:tcMar>
              <w:top w:w="100" w:type="dxa"/>
              <w:bottom w:w="100" w:type="dxa"/>
              <w:left w:w="120" w:type="dxa"/>
              <w:right w:w="120" w:type="dxa"/>
            </w:tcMar>
          </w:tcPr>
          <w:p>
            <w:pPr>
              <w:jc w:val="center"/>
            </w:pPr>
            <w:r>
              <w:rPr>
                <w:sz w:val="19"/>
              </w:rPr>
              <w:t>&lt; 0.001 ***</w:t>
            </w:r>
          </w:p>
        </w:tc>
      </w:tr>
      <w:tr>
        <w:tc>
          <w:tcPr>
            <w:tcW w:type="dxa" w:w="2160"/>
            <w:shd w:fill="F0F4F8"/>
            <w:tcMar>
              <w:top w:w="100" w:type="dxa"/>
              <w:bottom w:w="100" w:type="dxa"/>
              <w:left w:w="120" w:type="dxa"/>
              <w:right w:w="120" w:type="dxa"/>
            </w:tcMar>
          </w:tcPr>
          <w:p>
            <w:pPr>
              <w:jc w:val="left"/>
            </w:pPr>
            <w:r>
              <w:rPr>
                <w:sz w:val="19"/>
              </w:rPr>
              <w:t>dis (Distance)</w:t>
            </w:r>
          </w:p>
        </w:tc>
        <w:tc>
          <w:tcPr>
            <w:tcW w:type="dxa" w:w="1728"/>
            <w:shd w:fill="F0F4F8"/>
            <w:tcMar>
              <w:top w:w="100" w:type="dxa"/>
              <w:bottom w:w="100" w:type="dxa"/>
              <w:left w:w="120" w:type="dxa"/>
              <w:right w:w="120" w:type="dxa"/>
            </w:tcMar>
          </w:tcPr>
          <w:p>
            <w:pPr>
              <w:jc w:val="right"/>
            </w:pPr>
            <w:r>
              <w:rPr>
                <w:sz w:val="19"/>
              </w:rPr>
              <w:t>-1.476</w:t>
            </w:r>
          </w:p>
        </w:tc>
        <w:tc>
          <w:tcPr>
            <w:tcW w:type="dxa" w:w="1728"/>
            <w:shd w:fill="F0F4F8"/>
            <w:tcMar>
              <w:top w:w="100" w:type="dxa"/>
              <w:bottom w:w="100" w:type="dxa"/>
              <w:left w:w="120" w:type="dxa"/>
              <w:right w:w="120" w:type="dxa"/>
            </w:tcMar>
          </w:tcPr>
          <w:p>
            <w:pPr>
              <w:jc w:val="right"/>
            </w:pPr>
            <w:r>
              <w:rPr>
                <w:sz w:val="19"/>
              </w:rPr>
              <w:t>0.199</w:t>
            </w:r>
          </w:p>
        </w:tc>
        <w:tc>
          <w:tcPr>
            <w:tcW w:type="dxa" w:w="1728"/>
            <w:shd w:fill="F0F4F8"/>
            <w:tcMar>
              <w:top w:w="100" w:type="dxa"/>
              <w:bottom w:w="100" w:type="dxa"/>
              <w:left w:w="120" w:type="dxa"/>
              <w:right w:w="120" w:type="dxa"/>
            </w:tcMar>
          </w:tcPr>
          <w:p>
            <w:pPr>
              <w:jc w:val="right"/>
            </w:pPr>
            <w:r>
              <w:rPr>
                <w:sz w:val="19"/>
              </w:rPr>
              <w:t>-7.417</w:t>
            </w:r>
          </w:p>
        </w:tc>
        <w:tc>
          <w:tcPr>
            <w:tcW w:type="dxa" w:w="2016"/>
            <w:shd w:fill="F0F4F8"/>
            <w:tcMar>
              <w:top w:w="100" w:type="dxa"/>
              <w:bottom w:w="100" w:type="dxa"/>
              <w:left w:w="120" w:type="dxa"/>
              <w:right w:w="120" w:type="dxa"/>
            </w:tcMar>
          </w:tcPr>
          <w:p>
            <w:pPr>
              <w:jc w:val="center"/>
            </w:pPr>
            <w:r>
              <w:rPr>
                <w:sz w:val="19"/>
              </w:rPr>
              <w:t>&lt; 0.001 ***</w:t>
            </w:r>
          </w:p>
        </w:tc>
      </w:tr>
    </w:tbl>
    <w:p>
      <w:pPr>
        <w:keepNext/>
        <w:spacing w:before="360" w:after="160"/>
        <w:pBdr>
          <w:bottom w:val="single" w:sz="12" w:space="4" w:color="008080"/>
        </w:pBdr>
      </w:pPr>
      <w:r>
        <w:rPr>
          <w:rFonts w:ascii="Arial" w:hAnsi="Arial"/>
          <w:b/>
          <w:color w:val="1B365D"/>
          <w:sz w:val="36"/>
        </w:rPr>
        <w:t>4. Diagnostic Analysis &amp; Optimization</w:t>
      </w:r>
    </w:p>
    <w:p>
      <w:pPr>
        <w:keepNext/>
        <w:spacing w:before="280" w:after="120"/>
      </w:pPr>
      <w:r>
        <w:rPr>
          <w:rFonts w:ascii="Arial" w:hAnsi="Arial"/>
          <w:b/>
          <w:color w:val="008080"/>
          <w:sz w:val="28"/>
        </w:rPr>
        <w:t>4.1 Regression Diagnostics</w:t>
      </w:r>
    </w:p>
    <w:p>
      <w:r>
        <w:t>Diagnostic checking was conducted to verify linear regression assumptions: Multicollinearity (VIF), Heteroscedasticity, and Residual Normality.</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DDDDD"/>
              <w:left w:val="single" w:sz="12" w:space="0" w:color="008080"/>
              <w:bottom w:val="single" w:sz="4" w:space="0" w:color="DDDDDD"/>
              <w:right w:val="single" w:sz="4" w:space="0" w:color="DDDDDD"/>
            </w:tcBorders>
          </w:tcPr>
          <w:p>
            <w:pPr>
              <w:spacing w:after="0" w:line="240" w:lineRule="auto"/>
            </w:pPr>
            <w:r>
              <w:rPr>
                <w:rFonts w:ascii="Consolas" w:hAnsi="Consolas"/>
                <w:color w:val="222222"/>
                <w:sz w:val="19"/>
              </w:rPr>
              <w:t># R Code Snippet 5: Multicollinearity and Residual Diagnostics</w:t>
              <w:br/>
              <w:t>vif_values &lt;- vif(model_lm_cv$finalModel)</w:t>
              <w:br/>
              <w:t>print(vif_values)</w:t>
              <w:br/>
              <w:t>par(mfrow=c(2,2))</w:t>
              <w:br/>
              <w:t>plot(model_lm_cv$finalModel)</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40"/>
            </w:pPr>
            <w:r>
              <w:rPr>
                <w:b/>
                <w:color w:val="1B365D"/>
                <w:sz w:val="21"/>
              </w:rPr>
              <w:t>📌 DIAGNOSTIC ALERTS</w:t>
              <w:br/>
            </w:r>
            <w:r>
              <w:rPr>
                <w:i/>
                <w:sz w:val="20"/>
              </w:rPr>
              <w:t>Diagnostic Findings:</w:t>
              <w:br/>
              <w:t>1. Multicollinearity: High VIF detected in 'tax' (VIF = 9.02) and 'rad' (VIF = 7.48).</w:t>
              <w:br/>
              <w:t>2. Non-Linearity &amp; Heteroscedasticity: Residuals vs Fitted plot showed clear U-shaped curvature and non-constant variance.</w:t>
              <w:br/>
              <w:t>3. Normality &amp; Outliers: Q-Q plot showed heavy upper-tail deviations (observations 369, 372, 373).</w:t>
            </w:r>
          </w:p>
        </w:tc>
      </w:tr>
    </w:tbl>
    <w:p>
      <w:pPr>
        <w:spacing w:after="80"/>
      </w:pPr>
    </w:p>
    <w:p>
      <w:pPr>
        <w:keepNext/>
        <w:spacing w:before="280" w:after="120"/>
      </w:pPr>
      <w:r>
        <w:rPr>
          <w:rFonts w:ascii="Arial" w:hAnsi="Arial"/>
          <w:b/>
          <w:color w:val="008080"/>
          <w:sz w:val="28"/>
        </w:rPr>
        <w:t>4.2 Model Optimization Strategies</w:t>
      </w:r>
    </w:p>
    <w:p>
      <w:r>
        <w:t>To resolve diagnostic non-linearities and heteroscedasticity, two optimization models were constructed:</w:t>
        <w:br/>
        <w:t>1. Log-Transformed Regression: Applying log(medv) to stabilize variance and linearize exponential responses.</w:t>
        <w:br/>
        <w:t>2. Random Forest Non-Linear Model: Applying Random Forest ensemble algorithm to capture complex feature interactions.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DDDDD"/>
              <w:left w:val="single" w:sz="12" w:space="0" w:color="008080"/>
              <w:bottom w:val="single" w:sz="4" w:space="0" w:color="DDDDDD"/>
              <w:right w:val="single" w:sz="4" w:space="0" w:color="DDDDDD"/>
            </w:tcBorders>
          </w:tcPr>
          <w:p>
            <w:pPr>
              <w:spacing w:after="0" w:line="240" w:lineRule="auto"/>
            </w:pPr>
            <w:r>
              <w:rPr>
                <w:rFonts w:ascii="Consolas" w:hAnsi="Consolas"/>
                <w:color w:val="222222"/>
                <w:sz w:val="19"/>
              </w:rPr>
              <w:t># R Code Snippet 6: Log Transformation and Random Forest Tuning</w:t>
              <w:br/>
              <w:t>library(randomForest)</w:t>
              <w:br/>
              <w:t># Log Model</w:t>
              <w:br/>
              <w:t>model_log &lt;- lm(log(medv) ~ ., data = train_data)</w:t>
              <w:br/>
              <w:br/>
              <w:t># Random Forest Model</w:t>
              <w:br/>
              <w:t>set.seed(123)</w:t>
              <w:br/>
              <w:t>model_rf &lt;- randomForest(medv ~ ., data = train_data, ntree = 500, mtry = 4, importance = TRUE)</w:t>
              <w:br/>
              <w:t>rf_preds &lt;- predict(model_rf, newdata = test_data)</w:t>
            </w:r>
          </w:p>
        </w:tc>
      </w:tr>
    </w:tbl>
    <w:p>
      <w:pPr>
        <w:spacing w:after="80"/>
      </w:pPr>
    </w:p>
    <w:p>
      <w:pPr>
        <w:keepNext/>
        <w:spacing w:before="360" w:after="160"/>
        <w:pBdr>
          <w:bottom w:val="single" w:sz="12" w:space="4" w:color="008080"/>
        </w:pBdr>
      </w:pPr>
      <w:r>
        <w:rPr>
          <w:rFonts w:ascii="Arial" w:hAnsi="Arial"/>
          <w:b/>
          <w:color w:val="1B365D"/>
          <w:sz w:val="36"/>
        </w:rPr>
        <w:t>5. Performance Evaluation &amp; Comparison</w:t>
      </w:r>
    </w:p>
    <w:p>
      <w:pPr>
        <w:keepNext/>
        <w:spacing w:before="280" w:after="120"/>
      </w:pPr>
      <w:r>
        <w:rPr>
          <w:rFonts w:ascii="Arial" w:hAnsi="Arial"/>
          <w:b/>
          <w:color w:val="008080"/>
          <w:sz w:val="28"/>
        </w:rPr>
        <w:t>5.1 Out-of-Sample Test Set Evaluation</w:t>
      </w:r>
    </w:p>
    <w:p>
      <w:r>
        <w:t>All models were evaluated on the held-out 20% testing set using Root Mean Squared Error (RMSE), Mean Absolute Error (MAE), and R-squared (R²).</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CCCCC"/>
          <w:insideV w:val="none"/>
          <w:left w:val="none"/>
          <w:right w:val="none"/>
        </w:tblBorders>
      </w:tblPr>
      <w:tblGrid>
        <w:gridCol w:w="2340"/>
        <w:gridCol w:w="2340"/>
        <w:gridCol w:w="2340"/>
        <w:gridCol w:w="2340"/>
      </w:tblGrid>
      <w:tr>
        <w:trPr>
          <w:tblHeader/>
        </w:trPr>
        <w:tc>
          <w:tcPr>
            <w:tcW w:type="dxa" w:w="3600"/>
            <w:shd w:fill="1B365D"/>
            <w:tcMar>
              <w:top w:w="120" w:type="dxa"/>
              <w:bottom w:w="120" w:type="dxa"/>
              <w:left w:w="120" w:type="dxa"/>
              <w:right w:w="120" w:type="dxa"/>
            </w:tcMar>
          </w:tcPr>
          <w:p>
            <w:pPr>
              <w:jc w:val="left"/>
            </w:pPr>
            <w:r>
              <w:rPr>
                <w:b/>
                <w:color w:val="FFFFFF"/>
                <w:sz w:val="20"/>
              </w:rPr>
              <w:t>Model Specification</w:t>
            </w:r>
          </w:p>
        </w:tc>
        <w:tc>
          <w:tcPr>
            <w:tcW w:type="dxa" w:w="1872"/>
            <w:shd w:fill="1B365D"/>
            <w:tcMar>
              <w:top w:w="120" w:type="dxa"/>
              <w:bottom w:w="120" w:type="dxa"/>
              <w:left w:w="120" w:type="dxa"/>
              <w:right w:w="120" w:type="dxa"/>
            </w:tcMar>
          </w:tcPr>
          <w:p>
            <w:pPr>
              <w:jc w:val="right"/>
            </w:pPr>
            <w:r>
              <w:rPr>
                <w:b/>
                <w:color w:val="FFFFFF"/>
                <w:sz w:val="20"/>
              </w:rPr>
              <w:t>Test RMSE ($1000s)</w:t>
            </w:r>
          </w:p>
        </w:tc>
        <w:tc>
          <w:tcPr>
            <w:tcW w:type="dxa" w:w="1872"/>
            <w:shd w:fill="1B365D"/>
            <w:tcMar>
              <w:top w:w="120" w:type="dxa"/>
              <w:bottom w:w="120" w:type="dxa"/>
              <w:left w:w="120" w:type="dxa"/>
              <w:right w:w="120" w:type="dxa"/>
            </w:tcMar>
          </w:tcPr>
          <w:p>
            <w:pPr>
              <w:jc w:val="right"/>
            </w:pPr>
            <w:r>
              <w:rPr>
                <w:b/>
                <w:color w:val="FFFFFF"/>
                <w:sz w:val="20"/>
              </w:rPr>
              <w:t>Test MAE ($1000s)</w:t>
            </w:r>
          </w:p>
        </w:tc>
        <w:tc>
          <w:tcPr>
            <w:tcW w:type="dxa" w:w="2016"/>
            <w:shd w:fill="1B365D"/>
            <w:tcMar>
              <w:top w:w="120" w:type="dxa"/>
              <w:bottom w:w="120" w:type="dxa"/>
              <w:left w:w="120" w:type="dxa"/>
              <w:right w:w="120" w:type="dxa"/>
            </w:tcMar>
          </w:tcPr>
          <w:p>
            <w:pPr>
              <w:jc w:val="right"/>
            </w:pPr>
            <w:r>
              <w:rPr>
                <w:b/>
                <w:color w:val="FFFFFF"/>
                <w:sz w:val="20"/>
              </w:rPr>
              <w:t>Test R²</w:t>
            </w:r>
          </w:p>
        </w:tc>
      </w:tr>
      <w:tr>
        <w:tc>
          <w:tcPr>
            <w:tcW w:type="dxa" w:w="3600"/>
            <w:shd w:fill="F0F4F8"/>
            <w:tcMar>
              <w:top w:w="100" w:type="dxa"/>
              <w:bottom w:w="100" w:type="dxa"/>
              <w:left w:w="120" w:type="dxa"/>
              <w:right w:w="120" w:type="dxa"/>
            </w:tcMar>
          </w:tcPr>
          <w:p>
            <w:pPr>
              <w:jc w:val="left"/>
            </w:pPr>
            <w:r>
              <w:rPr>
                <w:sz w:val="19"/>
              </w:rPr>
              <w:t>Baseline Multiple Linear Regression</w:t>
            </w:r>
          </w:p>
        </w:tc>
        <w:tc>
          <w:tcPr>
            <w:tcW w:type="dxa" w:w="1872"/>
            <w:shd w:fill="F0F4F8"/>
            <w:tcMar>
              <w:top w:w="100" w:type="dxa"/>
              <w:bottom w:w="100" w:type="dxa"/>
              <w:left w:w="120" w:type="dxa"/>
              <w:right w:w="120" w:type="dxa"/>
            </w:tcMar>
          </w:tcPr>
          <w:p>
            <w:pPr>
              <w:jc w:val="right"/>
            </w:pPr>
            <w:r>
              <w:rPr>
                <w:sz w:val="19"/>
              </w:rPr>
              <w:t>4.85</w:t>
            </w:r>
          </w:p>
        </w:tc>
        <w:tc>
          <w:tcPr>
            <w:tcW w:type="dxa" w:w="1872"/>
            <w:shd w:fill="F0F4F8"/>
            <w:tcMar>
              <w:top w:w="100" w:type="dxa"/>
              <w:bottom w:w="100" w:type="dxa"/>
              <w:left w:w="120" w:type="dxa"/>
              <w:right w:w="120" w:type="dxa"/>
            </w:tcMar>
          </w:tcPr>
          <w:p>
            <w:pPr>
              <w:jc w:val="right"/>
            </w:pPr>
            <w:r>
              <w:rPr>
                <w:sz w:val="19"/>
              </w:rPr>
              <w:t>3.32</w:t>
            </w:r>
          </w:p>
        </w:tc>
        <w:tc>
          <w:tcPr>
            <w:tcW w:type="dxa" w:w="2016"/>
            <w:shd w:fill="F0F4F8"/>
            <w:tcMar>
              <w:top w:w="100" w:type="dxa"/>
              <w:bottom w:w="100" w:type="dxa"/>
              <w:left w:w="120" w:type="dxa"/>
              <w:right w:w="120" w:type="dxa"/>
            </w:tcMar>
          </w:tcPr>
          <w:p>
            <w:pPr>
              <w:jc w:val="right"/>
            </w:pPr>
            <w:r>
              <w:rPr>
                <w:sz w:val="19"/>
              </w:rPr>
              <w:t>0.724</w:t>
            </w:r>
          </w:p>
        </w:tc>
      </w:tr>
      <w:tr>
        <w:tc>
          <w:tcPr>
            <w:tcW w:type="dxa" w:w="3600"/>
            <w:shd w:fill="FFFFFF"/>
            <w:tcMar>
              <w:top w:w="100" w:type="dxa"/>
              <w:bottom w:w="100" w:type="dxa"/>
              <w:left w:w="120" w:type="dxa"/>
              <w:right w:w="120" w:type="dxa"/>
            </w:tcMar>
          </w:tcPr>
          <w:p>
            <w:pPr>
              <w:jc w:val="left"/>
            </w:pPr>
            <w:r>
              <w:rPr>
                <w:sz w:val="19"/>
              </w:rPr>
              <w:t>Log-Transformed Linear Regression</w:t>
            </w:r>
          </w:p>
        </w:tc>
        <w:tc>
          <w:tcPr>
            <w:tcW w:type="dxa" w:w="1872"/>
            <w:shd w:fill="FFFFFF"/>
            <w:tcMar>
              <w:top w:w="100" w:type="dxa"/>
              <w:bottom w:w="100" w:type="dxa"/>
              <w:left w:w="120" w:type="dxa"/>
              <w:right w:w="120" w:type="dxa"/>
            </w:tcMar>
          </w:tcPr>
          <w:p>
            <w:pPr>
              <w:jc w:val="right"/>
            </w:pPr>
            <w:r>
              <w:rPr>
                <w:sz w:val="19"/>
              </w:rPr>
              <w:t>4.12</w:t>
            </w:r>
          </w:p>
        </w:tc>
        <w:tc>
          <w:tcPr>
            <w:tcW w:type="dxa" w:w="1872"/>
            <w:shd w:fill="FFFFFF"/>
            <w:tcMar>
              <w:top w:w="100" w:type="dxa"/>
              <w:bottom w:w="100" w:type="dxa"/>
              <w:left w:w="120" w:type="dxa"/>
              <w:right w:w="120" w:type="dxa"/>
            </w:tcMar>
          </w:tcPr>
          <w:p>
            <w:pPr>
              <w:jc w:val="right"/>
            </w:pPr>
            <w:r>
              <w:rPr>
                <w:sz w:val="19"/>
              </w:rPr>
              <w:t>2.84</w:t>
            </w:r>
          </w:p>
        </w:tc>
        <w:tc>
          <w:tcPr>
            <w:tcW w:type="dxa" w:w="2016"/>
            <w:shd w:fill="FFFFFF"/>
            <w:tcMar>
              <w:top w:w="100" w:type="dxa"/>
              <w:bottom w:w="100" w:type="dxa"/>
              <w:left w:w="120" w:type="dxa"/>
              <w:right w:w="120" w:type="dxa"/>
            </w:tcMar>
          </w:tcPr>
          <w:p>
            <w:pPr>
              <w:jc w:val="right"/>
            </w:pPr>
            <w:r>
              <w:rPr>
                <w:sz w:val="19"/>
              </w:rPr>
              <w:t>0.791</w:t>
            </w:r>
          </w:p>
        </w:tc>
      </w:tr>
      <w:tr>
        <w:tc>
          <w:tcPr>
            <w:tcW w:type="dxa" w:w="3600"/>
            <w:shd w:fill="F0F4F8"/>
            <w:tcMar>
              <w:top w:w="100" w:type="dxa"/>
              <w:bottom w:w="100" w:type="dxa"/>
              <w:left w:w="120" w:type="dxa"/>
              <w:right w:w="120" w:type="dxa"/>
            </w:tcMar>
          </w:tcPr>
          <w:p>
            <w:pPr>
              <w:jc w:val="left"/>
            </w:pPr>
            <w:r>
              <w:rPr>
                <w:sz w:val="19"/>
              </w:rPr>
              <w:t>Random Forest Ensemble (Optimized)</w:t>
            </w:r>
          </w:p>
        </w:tc>
        <w:tc>
          <w:tcPr>
            <w:tcW w:type="dxa" w:w="1872"/>
            <w:shd w:fill="F0F4F8"/>
            <w:tcMar>
              <w:top w:w="100" w:type="dxa"/>
              <w:bottom w:w="100" w:type="dxa"/>
              <w:left w:w="120" w:type="dxa"/>
              <w:right w:w="120" w:type="dxa"/>
            </w:tcMar>
          </w:tcPr>
          <w:p>
            <w:pPr>
              <w:jc w:val="right"/>
            </w:pPr>
            <w:r>
              <w:rPr>
                <w:sz w:val="19"/>
              </w:rPr>
              <w:t>3.18</w:t>
            </w:r>
          </w:p>
        </w:tc>
        <w:tc>
          <w:tcPr>
            <w:tcW w:type="dxa" w:w="1872"/>
            <w:shd w:fill="F0F4F8"/>
            <w:tcMar>
              <w:top w:w="100" w:type="dxa"/>
              <w:bottom w:w="100" w:type="dxa"/>
              <w:left w:w="120" w:type="dxa"/>
              <w:right w:w="120" w:type="dxa"/>
            </w:tcMar>
          </w:tcPr>
          <w:p>
            <w:pPr>
              <w:jc w:val="right"/>
            </w:pPr>
            <w:r>
              <w:rPr>
                <w:sz w:val="19"/>
              </w:rPr>
              <w:t>2.12</w:t>
            </w:r>
          </w:p>
        </w:tc>
        <w:tc>
          <w:tcPr>
            <w:tcW w:type="dxa" w:w="2016"/>
            <w:shd w:fill="F0F4F8"/>
            <w:tcMar>
              <w:top w:w="100" w:type="dxa"/>
              <w:bottom w:w="100" w:type="dxa"/>
              <w:left w:w="120" w:type="dxa"/>
              <w:right w:w="120" w:type="dxa"/>
            </w:tcMar>
          </w:tcPr>
          <w:p>
            <w:pPr>
              <w:jc w:val="right"/>
            </w:pPr>
            <w:r>
              <w:rPr>
                <w:sz w:val="19"/>
              </w:rPr>
              <w:t>0.885</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40"/>
            </w:pPr>
            <w:r>
              <w:rPr>
                <w:b/>
                <w:color w:val="1B365D"/>
                <w:sz w:val="21"/>
              </w:rPr>
              <w:t>📌 BENCHMARK RESULTS</w:t>
              <w:br/>
            </w:r>
            <w:r>
              <w:rPr>
                <w:i/>
                <w:sz w:val="20"/>
              </w:rPr>
              <w:t>Performance Summary:</w:t>
              <w:br/>
              <w:t>The Optimized Random Forest model achieved superior predictive performance, reducing RMSE by 34.4% compared to baseline regression and capturing 88.5% of variance in unseen test data.</w:t>
            </w:r>
          </w:p>
        </w:tc>
      </w:tr>
    </w:tbl>
    <w:p>
      <w:pPr>
        <w:spacing w:after="80"/>
      </w:pPr>
    </w:p>
    <w:p>
      <w:pPr>
        <w:keepNext/>
        <w:spacing w:before="360" w:after="160"/>
        <w:pBdr>
          <w:bottom w:val="single" w:sz="12" w:space="4" w:color="008080"/>
        </w:pBdr>
      </w:pPr>
      <w:r>
        <w:rPr>
          <w:rFonts w:ascii="Arial" w:hAnsi="Arial"/>
          <w:b/>
          <w:color w:val="1B365D"/>
          <w:sz w:val="36"/>
        </w:rPr>
        <w:t>6. Interpretation &amp; Strategic Recommendations</w:t>
      </w:r>
    </w:p>
    <w:p>
      <w:pPr>
        <w:keepNext/>
        <w:spacing w:before="280" w:after="120"/>
      </w:pPr>
      <w:r>
        <w:rPr>
          <w:rFonts w:ascii="Arial" w:hAnsi="Arial"/>
          <w:b/>
          <w:color w:val="008080"/>
          <w:sz w:val="28"/>
        </w:rPr>
        <w:t>6.1 Analytical Interpretation</w:t>
      </w:r>
    </w:p>
    <w:p>
      <w:r>
        <w:t>1. Key Value Drivers: The percentage of lower status population (lstat) and average number of rooms (rm) are the overwhelmingly dominant determinants of home prices.</w:t>
        <w:br/>
        <w:t>2. Environmental Factors: Proximity to major employment centres (dis) and nitric oxide concentration (nox) exhibit substantial non-linear drag on values.</w:t>
        <w:br/>
        <w:t>3. Structural Boundaries: Being bounded by the Charles River provides a statistically confirmed premium of approximately 10-15% on property values.</w:t>
      </w:r>
    </w:p>
    <w:p>
      <w:pPr>
        <w:keepNext/>
        <w:spacing w:before="280" w:after="120"/>
      </w:pPr>
      <w:r>
        <w:rPr>
          <w:rFonts w:ascii="Arial" w:hAnsi="Arial"/>
          <w:b/>
          <w:color w:val="008080"/>
          <w:sz w:val="28"/>
        </w:rPr>
        <w:t>6.2 Potential Areas for Future Improvement</w:t>
      </w:r>
    </w:p>
    <w:p>
      <w:r>
        <w:t>• Advanced Feature Engineering: Incorporating non-linear interaction terms (e.g., rm * lstat) and spatial clustering.</w:t>
        <w:br/>
        <w:t>• Hyperparameter Optimization: Utilizing Bayesian optimization via caret or tidymodels for tuning Random Forest and XGBoost algorithms.</w:t>
        <w:br/>
        <w:t>• External Macro Data: Integrating real-time mortgage rate trends and local school micro-ratings to resolve residual variance.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