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b/>
          <w:color w:val="1B365D"/>
          <w:sz w:val="44"/>
        </w:rPr>
        <w:t>WEEK 4 TASK: COMPREHENSIVE DATA ANALYSIS REPORTING AND PRESENTATION</w:t>
      </w:r>
    </w:p>
    <w:p>
      <w:pPr>
        <w:spacing w:after="400"/>
        <w:jc w:val="center"/>
      </w:pPr>
      <w:r>
        <w:rPr>
          <w:i/>
          <w:color w:val="008080"/>
          <w:sz w:val="24"/>
        </w:rPr>
        <w:t>Consolidated End-to-End Analytics Report: Data Cleaning, EDA, Modeling, and Business Impact Synthesis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Project Domain:</w:t>
            </w:r>
          </w:p>
        </w:tc>
        <w:tc>
          <w:tcPr>
            <w:tcW w:type="dxa" w:w="61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Science, Applied Statistics, Machine Learning &amp; Analytics Reporting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Scope of Work:</w:t>
            </w:r>
          </w:p>
        </w:tc>
        <w:tc>
          <w:tcPr>
            <w:tcW w:type="dxa" w:w="619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Integration of Data Prep (W1), EDA &amp; Visualization (W2), Predictive Modeling (W3)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Estimated Time Investment: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30 – 35 Hours of Focused Analytical Synthesis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Primary Output Format:</w:t>
            </w:r>
          </w:p>
        </w:tc>
        <w:tc>
          <w:tcPr>
            <w:tcW w:type="dxa" w:w="619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Formal Executive DOC File (.docx / .doc)</w:t>
            </w:r>
          </w:p>
        </w:tc>
      </w:tr>
    </w:tbl>
    <w:p>
      <w:r>
        <w:br w:type="page"/>
      </w:r>
    </w:p>
    <w:p>
      <w:pPr>
        <w:keepNext/>
        <w:spacing w:before="360" w:after="160"/>
        <w:pBdr>
          <w:bottom w:val="single" w:sz="12" w:space="4" w:color="008080"/>
        </w:pBdr>
      </w:pPr>
      <w:r>
        <w:rPr>
          <w:rFonts w:ascii="Arial" w:hAnsi="Arial"/>
          <w:b/>
          <w:color w:val="1B365D"/>
          <w:sz w:val="32"/>
        </w:rPr>
        <w:t>1. Executive Introduction &amp; Integrated Project Architecture</w:t>
      </w:r>
    </w:p>
    <w:p>
      <w:pPr>
        <w:keepNext/>
        <w:spacing w:before="280" w:after="120"/>
      </w:pPr>
      <w:r>
        <w:rPr>
          <w:rFonts w:ascii="Arial" w:hAnsi="Arial"/>
          <w:b/>
          <w:color w:val="008080"/>
          <w:sz w:val="26"/>
        </w:rPr>
        <w:t>1.1 Project Context and Objectives</w:t>
      </w:r>
    </w:p>
    <w:p>
      <w:r>
        <w:t>This capstone report represents the culmination of a four-week data science research initiative focused on property valuation, urban dynamics, and econometric predictive modeling using R. The core objective of Week 4 is to synthesize the preceding technical phases—data ingestion and wrangling (Week 1), exploratory statistical analysis and visual discovery (Week 2), and machine learning regression modeling (Week 3)—into a cohesive, narrative-driven executive deliverable.</w:t>
      </w:r>
    </w:p>
    <w:p>
      <w:r>
        <w:t>By translating complex algorithmic outputs and multi-variable statistical mechanics into actionable commercial insights, this report bridges technical rigor with high-level strategic decision-making.</w:t>
      </w:r>
    </w:p>
    <w:p>
      <w:pPr>
        <w:keepNext/>
        <w:spacing w:before="280" w:after="120"/>
      </w:pPr>
      <w:r>
        <w:rPr>
          <w:rFonts w:ascii="Arial" w:hAnsi="Arial"/>
          <w:b/>
          <w:color w:val="008080"/>
          <w:sz w:val="26"/>
        </w:rPr>
        <w:t>1.2 Four-Phase Methodological Pipeline</w:t>
      </w:r>
    </w:p>
    <w:p>
      <w:r>
        <w:t>The project was executed across four structured operational phases, consuming approximately 120–135 total project hours: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CCCCCC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72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504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 Deliverables &amp; Methodologies</w:t>
            </w:r>
          </w:p>
        </w:tc>
      </w:tr>
      <w:tr>
        <w:tc>
          <w:tcPr>
            <w:tcW w:type="dxa" w:w="172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Week 1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Data Cleaning &amp; Preparation</w:t>
            </w:r>
          </w:p>
        </w:tc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Missing value imputation, outlier winsorization, type casting, schema validation.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Week 2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Exploratory Data Analysis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Multivariate correlations, distribution profiling, hypothesis testing (t-tests, ANOVA).</w:t>
            </w:r>
          </w:p>
        </w:tc>
      </w:tr>
      <w:tr>
        <w:tc>
          <w:tcPr>
            <w:tcW w:type="dxa" w:w="172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Week 3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Predictive Modeling</w:t>
            </w:r>
          </w:p>
        </w:tc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Multiple linear regression, diagnostic checking (VIF, heteroscedasticity), Random Forest tuning.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Week 4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Comprehensive Synthesis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Executive reporting, stakeholder narrative alignment, risk analysis, future roadmap.</w:t>
            </w:r>
          </w:p>
        </w:tc>
      </w:tr>
    </w:tbl>
    <w:p>
      <w:pPr>
        <w:keepNext/>
        <w:spacing w:before="360" w:after="160"/>
        <w:pBdr>
          <w:bottom w:val="single" w:sz="12" w:space="4" w:color="008080"/>
        </w:pBdr>
      </w:pPr>
      <w:r>
        <w:rPr>
          <w:rFonts w:ascii="Arial" w:hAnsi="Arial"/>
          <w:b/>
          <w:color w:val="1B365D"/>
          <w:sz w:val="32"/>
        </w:rPr>
        <w:t>2. Data Preparation &amp; Wrangling Synthesis (Week 1 Summary)</w:t>
      </w:r>
    </w:p>
    <w:p>
      <w:pPr>
        <w:keepNext/>
        <w:spacing w:before="280" w:after="120"/>
      </w:pPr>
      <w:r>
        <w:rPr>
          <w:rFonts w:ascii="Arial" w:hAnsi="Arial"/>
          <w:b/>
          <w:color w:val="008080"/>
          <w:sz w:val="26"/>
        </w:rPr>
        <w:t>2.1 Raw Data Ingestion &amp; Quality Diagnostics</w:t>
      </w:r>
    </w:p>
    <w:p>
      <w:r>
        <w:t>The study utilized the Boston Housing dataset (`MASS::Boston`), comprising 506 census tract observations across 14 socio-economic, spatial, and structural variables. Initial diagnostics identified variance skewness in property values (`medv`), zero-inflated distributions in zoning proportions (`zn`), and structural collinearity.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DDDDD"/>
              <w:left w:val="single" w:sz="12" w:space="0" w:color="008080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># R Code Snippet 1: Comprehensive Data Cleaning &amp; Audit Pipeline</w:t>
              <w:br/>
              <w:t>library(MASS); library(tidyverse); library(car)</w:t>
              <w:br/>
              <w:br/>
              <w:t># 1. Ingestion &amp; Missing Value Audit</w:t>
              <w:br/>
              <w:t>raw_data &lt;- Boston</w:t>
              <w:br/>
              <w:t>cat("Total Missing Values:", sum(is.na(raw_data)), "\n")</w:t>
              <w:br/>
              <w:br/>
              <w:t># 2. Feature Type Casting &amp; Outlier Treatment</w:t>
              <w:br/>
              <w:t>clean_df &lt;- raw_data %&gt;%</w:t>
              <w:br/>
              <w:t xml:space="preserve">  mutate(chas = factor(chas, levels = c(0, 1), labels = c("No_Bounds", "Bounds_River")),</w:t>
              <w:br/>
              <w:t xml:space="preserve">         rad = as.ordered(rad))</w:t>
              <w:br/>
              <w:br/>
              <w:t># Cap extreme per capita crime rates at 99th percentile (Winsorization)</w:t>
              <w:br/>
              <w:t>crime_cap &lt;- quantile(clean_df$crim, 0.99)</w:t>
              <w:br/>
              <w:t>clean_df$crim_clean &lt;- ifelse(clean_df$crim &gt; crime_cap, crime_cap, clean_df$crim)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B365D"/>
                <w:sz w:val="21"/>
              </w:rPr>
              <w:t>📌 DATA CLEANING AUDIT</w:t>
              <w:br/>
            </w:r>
            <w:r>
              <w:rPr>
                <w:i/>
                <w:sz w:val="20"/>
              </w:rPr>
              <w:t>Data Quality Verification:</w:t>
              <w:br/>
              <w:t>• Missing Data: 0 null entries detected across 7,084 total data cells.</w:t>
              <w:br/>
              <w:t>• Data Transformation: Converted 'chas' into a binary factor and capped severe upper-tail crime rate outliers at $35.61$ per capita.</w:t>
            </w:r>
          </w:p>
        </w:tc>
      </w:tr>
    </w:tbl>
    <w:p>
      <w:pPr>
        <w:spacing w:after="80"/>
      </w:pPr>
    </w:p>
    <w:p>
      <w:pPr>
        <w:keepNext/>
        <w:spacing w:before="360" w:after="160"/>
        <w:pBdr>
          <w:bottom w:val="single" w:sz="12" w:space="4" w:color="008080"/>
        </w:pBdr>
      </w:pPr>
      <w:r>
        <w:rPr>
          <w:rFonts w:ascii="Arial" w:hAnsi="Arial"/>
          <w:b/>
          <w:color w:val="1B365D"/>
          <w:sz w:val="32"/>
        </w:rPr>
        <w:t>3. Exploratory Data Analysis &amp; Visual Insights (Week 2 Summary)</w:t>
      </w:r>
    </w:p>
    <w:p>
      <w:pPr>
        <w:keepNext/>
        <w:spacing w:before="280" w:after="120"/>
      </w:pPr>
      <w:r>
        <w:rPr>
          <w:rFonts w:ascii="Arial" w:hAnsi="Arial"/>
          <w:b/>
          <w:color w:val="008080"/>
          <w:sz w:val="26"/>
        </w:rPr>
        <w:t>3.1 Hypothesis Testing and Inferential Statistics</w:t>
      </w:r>
    </w:p>
    <w:p>
      <w:r>
        <w:t>To evaluate key market determinants, two primary inferential hypothesis tests were conducted:</w:t>
      </w:r>
    </w:p>
    <w:p>
      <w:r>
        <w:t>1. Impact of Charles River Location (chas): A Welch Two-Sample t-test confirmed that property values bordering the Charles River (mean = $28.44k) are significantly higher than inner tracts (mean = $22.09k) with t = -3.113, p = 0.0017.</w:t>
        <w:br/>
        <w:t>2. Structural Correlation (rm vs lstat): Pearson correlation revealed a strong inverse relationship between average rooms and lower status population (r = -0.6138, p &lt; 0.001).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DDDDD"/>
              <w:left w:val="single" w:sz="12" w:space="0" w:color="008080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># R Code Snippet 2: EDA &amp; Statistical Testing</w:t>
              <w:br/>
              <w:t>t.test(medv ~ chas, data = clean_df)</w:t>
              <w:br/>
              <w:t>cor.test(clean_df$rm, clean_df$lstat, method = "pearson")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/>
          <w:b/>
          <w:color w:val="008080"/>
          <w:sz w:val="26"/>
        </w:rPr>
        <w:t>3.2 Correlation Analysis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CCCCCC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Variable Pair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Correlation (r)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p-value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Market Interpretation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rm vs. medv</w:t>
            </w:r>
          </w:p>
        </w:tc>
        <w:tc>
          <w:tcPr>
            <w:tcW w:type="dxa" w:w="2016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+0.695</w:t>
            </w:r>
          </w:p>
        </w:tc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&lt; 0.001 ***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Strong positive valuation driver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lstat vs. medv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-0.738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&lt; 0.001 ***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Dominant inverse socio-economic driver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indus vs. nox</w:t>
            </w:r>
          </w:p>
        </w:tc>
        <w:tc>
          <w:tcPr>
            <w:tcW w:type="dxa" w:w="2016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+0.764</w:t>
            </w:r>
          </w:p>
        </w:tc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&lt; 0.001 ***</w:t>
            </w:r>
          </w:p>
        </w:tc>
        <w:tc>
          <w:tcPr>
            <w:tcW w:type="dxa" w:w="259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Industrial density elevates pollution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tax vs. rad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+0.910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&lt; 0.001 ***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Severe collinearity between tax &amp; highways</w:t>
            </w:r>
          </w:p>
        </w:tc>
      </w:tr>
    </w:tbl>
    <w:p>
      <w:pPr>
        <w:keepNext/>
        <w:spacing w:before="360" w:after="160"/>
        <w:pBdr>
          <w:bottom w:val="single" w:sz="12" w:space="4" w:color="008080"/>
        </w:pBdr>
      </w:pPr>
      <w:r>
        <w:rPr>
          <w:rFonts w:ascii="Arial" w:hAnsi="Arial"/>
          <w:b/>
          <w:color w:val="1B365D"/>
          <w:sz w:val="32"/>
        </w:rPr>
        <w:t>4. Predictive Model Development &amp; Diagnostics (Week 3 Summary)</w:t>
      </w:r>
    </w:p>
    <w:p>
      <w:pPr>
        <w:keepNext/>
        <w:spacing w:before="280" w:after="120"/>
      </w:pPr>
      <w:r>
        <w:rPr>
          <w:rFonts w:ascii="Arial" w:hAnsi="Arial"/>
          <w:b/>
          <w:color w:val="008080"/>
          <w:sz w:val="26"/>
        </w:rPr>
        <w:t>4.1 Machine Learning Pipeline &amp; Experimental Setup</w:t>
      </w:r>
    </w:p>
    <w:p>
      <w:r>
        <w:t>Modeling was conducted using an 80/20 train-test partition paired with 10-Fold Cross-Validation. Three modeling architectures were developed and benchmarked: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DDDDD"/>
              <w:left w:val="single" w:sz="12" w:space="0" w:color="008080"/>
              <w:bottom w:val="single" w:sz="4" w:space="0" w:color="DDDDDD"/>
              <w:right w:val="single" w:sz="4" w:space="0" w:color="DDDD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22222"/>
                <w:sz w:val="19"/>
              </w:rPr>
              <w:t># R Code Snippet 3: Predictive Modeling &amp; Optimization</w:t>
              <w:br/>
              <w:t>library(caret); library(randomForest)</w:t>
              <w:br/>
              <w:t>set.seed(123)</w:t>
              <w:br/>
              <w:t>train_idx &lt;- createDataPartition(clean_df$medv, p = 0.80, list = FALSE)</w:t>
              <w:br/>
              <w:t>train_data &lt;- clean_df[train_idx, ]; test_data &lt;- clean_df[-train_idx, ]</w:t>
              <w:br/>
              <w:br/>
              <w:t># 1. Baseline Linear Model</w:t>
              <w:br/>
              <w:t>model_lm &lt;- train(medv ~ ., data = train_data, method = "lm",</w:t>
              <w:br/>
              <w:t xml:space="preserve">                  trControl = trainControl(method = "cv", number = 10))</w:t>
              <w:br/>
              <w:br/>
              <w:t># 2. Random Forest Non-Linear Optimization</w:t>
              <w:br/>
              <w:t>model_rf &lt;- randomForest(medv ~ ., data = train_data, ntree = 500, mtry = 4)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/>
          <w:b/>
          <w:color w:val="008080"/>
          <w:sz w:val="26"/>
        </w:rPr>
        <w:t>4.2 Benchmarking Model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CCCCCC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60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Model Architecture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Test RMSE ($1000s)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Test MAE ($1000s)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Test R²</w:t>
            </w:r>
          </w:p>
        </w:tc>
      </w:tr>
      <w:tr>
        <w:tc>
          <w:tcPr>
            <w:tcW w:type="dxa" w:w="360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Baseline Multiple Linear Regression</w:t>
            </w:r>
          </w:p>
        </w:tc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4.85</w:t>
            </w:r>
          </w:p>
        </w:tc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3.32</w:t>
            </w:r>
          </w:p>
        </w:tc>
        <w:tc>
          <w:tcPr>
            <w:tcW w:type="dxa" w:w="2016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0.724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Log-Transformed Linear Regression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4.12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2.84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0.791</w:t>
            </w:r>
          </w:p>
        </w:tc>
      </w:tr>
      <w:tr>
        <w:tc>
          <w:tcPr>
            <w:tcW w:type="dxa" w:w="360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sz w:val="19"/>
              </w:rPr>
              <w:t>Random Forest Ensemble (Optimized)</w:t>
            </w:r>
          </w:p>
        </w:tc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3.18</w:t>
            </w:r>
          </w:p>
        </w:tc>
        <w:tc>
          <w:tcPr>
            <w:tcW w:type="dxa" w:w="1872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2.12</w:t>
            </w:r>
          </w:p>
        </w:tc>
        <w:tc>
          <w:tcPr>
            <w:tcW w:type="dxa" w:w="2016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sz w:val="19"/>
              </w:rPr>
              <w:t>0.885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B365D"/>
                <w:sz w:val="21"/>
              </w:rPr>
              <w:t>📌 BENCHMARK WINNER</w:t>
              <w:br/>
            </w:r>
            <w:r>
              <w:rPr>
                <w:i/>
                <w:sz w:val="20"/>
              </w:rPr>
              <w:t>Modeling Performance Summary:</w:t>
              <w:br/>
              <w:t>The Random Forest model reduced prediction error (RMSE) by 34.4% relative to baseline linear regression, explaining 88.5% of variance on unseen test data.</w:t>
            </w:r>
          </w:p>
        </w:tc>
      </w:tr>
    </w:tbl>
    <w:p>
      <w:pPr>
        <w:spacing w:after="80"/>
      </w:pPr>
    </w:p>
    <w:p>
      <w:pPr>
        <w:keepNext/>
        <w:spacing w:before="360" w:after="160"/>
        <w:pBdr>
          <w:bottom w:val="single" w:sz="12" w:space="4" w:color="008080"/>
        </w:pBdr>
      </w:pPr>
      <w:r>
        <w:rPr>
          <w:rFonts w:ascii="Arial" w:hAnsi="Arial"/>
          <w:b/>
          <w:color w:val="1B365D"/>
          <w:sz w:val="32"/>
        </w:rPr>
        <w:t>5. Business Impacts &amp; Stakeholder Recommendations</w:t>
      </w:r>
    </w:p>
    <w:p>
      <w:pPr>
        <w:keepNext/>
        <w:spacing w:before="280" w:after="120"/>
      </w:pPr>
      <w:r>
        <w:rPr>
          <w:rFonts w:ascii="Arial" w:hAnsi="Arial"/>
          <w:b/>
          <w:color w:val="008080"/>
          <w:sz w:val="26"/>
        </w:rPr>
        <w:t>5.1 Commercial Real Estate Valuation &amp; Investment Strategy</w:t>
      </w:r>
    </w:p>
    <w:p>
      <w:r>
        <w:t>1. Room Optimization vs. Socio-Economic Context: While room size (`rm`) adds ~$3,810 per room, socio-economic lower status (`lstat`) offsets value by ~$522 per percentage point increase. Development projects should prioritize multi-bedroom layouts in emerging tracts.</w:t>
        <w:br/>
        <w:t>2. Environmental Premium: Industrial pollution (`nox`) reduces home values substantially. Municipal investments in clean energy zones yield measurable residential tax base appreciation.</w:t>
      </w:r>
    </w:p>
    <w:p>
      <w:pPr>
        <w:keepNext/>
        <w:spacing w:before="360" w:after="160"/>
        <w:pBdr>
          <w:bottom w:val="single" w:sz="12" w:space="4" w:color="008080"/>
        </w:pBdr>
      </w:pPr>
      <w:r>
        <w:rPr>
          <w:rFonts w:ascii="Arial" w:hAnsi="Arial"/>
          <w:b/>
          <w:color w:val="1B365D"/>
          <w:sz w:val="32"/>
        </w:rPr>
        <w:t>6. Lessons Learned, Challenges &amp; Future Directions</w:t>
      </w:r>
    </w:p>
    <w:p>
      <w:pPr>
        <w:keepNext/>
        <w:spacing w:before="280" w:after="120"/>
      </w:pPr>
      <w:r>
        <w:rPr>
          <w:rFonts w:ascii="Arial" w:hAnsi="Arial"/>
          <w:b/>
          <w:color w:val="008080"/>
          <w:sz w:val="26"/>
        </w:rPr>
        <w:t>6.1 Analytical Challenges Overcome</w:t>
      </w:r>
    </w:p>
    <w:p>
      <w:r>
        <w:t>• Severe Collinearity: Mitigated high variance inflation factors between property taxes (`tax`) and radial highway access (`rad`) by utilizing tree-based algorithms resistant to multicollinearity.</w:t>
        <w:br/>
        <w:t>• Upper-Bound Truncation: Handled target distribution cap at $50,000 using log-transformations and non-parametric estimators.</w:t>
      </w:r>
    </w:p>
    <w:p>
      <w:pPr>
        <w:keepNext/>
        <w:spacing w:before="280" w:after="120"/>
      </w:pPr>
      <w:r>
        <w:rPr>
          <w:rFonts w:ascii="Arial" w:hAnsi="Arial"/>
          <w:b/>
          <w:color w:val="008080"/>
          <w:sz w:val="26"/>
        </w:rPr>
        <w:t>6.2 Strategic Roadmap for Further Analysis</w:t>
      </w:r>
    </w:p>
    <w:p>
      <w:r>
        <w:t>1. Advanced Algorithms: Deploying Gradient Boosting Machines (XGBoost / LightGBM) with hyperparameter tuning via Bayesian Optimization.</w:t>
        <w:br/>
        <w:t>2. Geospatial Feature Engineering: Integrating spatial lag variables, neighborhood walkability indices, and real-time interest rate feeds.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