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a043ku5qjcf" w:id="0"/>
      <w:bookmarkEnd w:id="0"/>
      <w:r w:rsidDel="00000000" w:rsidR="00000000" w:rsidRPr="00000000">
        <w:rPr>
          <w:rtl w:val="0"/>
        </w:rPr>
        <w:t xml:space="preserve">Regional Distribution of Electricity Production 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d2t5xzqvfke3" w:id="1"/>
      <w:bookmarkEnd w:id="1"/>
      <w:r w:rsidDel="00000000" w:rsidR="00000000" w:rsidRPr="00000000">
        <w:rPr>
          <w:rtl w:val="0"/>
        </w:rPr>
        <w:t xml:space="preserve">Oil Production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highest oil production is observed in the Middle East &amp; North Africa region (10,710.57 units).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North America has the lowest oil production (61.93 units).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total oil production across all regions is 46,791.52 units.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aulzef77d5j4" w:id="2"/>
      <w:bookmarkEnd w:id="2"/>
      <w:r w:rsidDel="00000000" w:rsidR="00000000" w:rsidRPr="00000000">
        <w:rPr>
          <w:rtl w:val="0"/>
        </w:rPr>
        <w:t xml:space="preserve">Nuclear Production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Europe &amp; Central Asia has the highest nuclear production (10,689.39 units), contributing a significant portion to the global nuclear production.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Middle East &amp; North Africa has the lowest nuclear production (4.23 units).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total nuclear production across all regions is 17,291.9 units.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guzojotq1dt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akvz5qgivbn5" w:id="4"/>
      <w:bookmarkEnd w:id="4"/>
      <w:r w:rsidDel="00000000" w:rsidR="00000000" w:rsidRPr="00000000">
        <w:rPr>
          <w:rtl w:val="0"/>
        </w:rPr>
        <w:t xml:space="preserve">Renewable Production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highest renewable production is from the Europe and Central Asia, which seems to be an outlier or potentially aggregated data from unspecified regions.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Sub-Saharan Africa has the lowest renewable production (52,225,000,000 units).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53q528ww6an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1ekm1qbq76l5" w:id="6"/>
      <w:bookmarkEnd w:id="6"/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data indicates a strong reliance on oil and renewable energy in many regions, with Europe &amp; Central Asia and North America showing significant nuclear production.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Renewable energy production has a wide range of values, indicating varying levels of investment and infrastructure across regions.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Middle East &amp; North Africa shows a very low nuclear production compared to its oil production, aligning with the region's known energy profile.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ugb8k08maz4k" w:id="7"/>
      <w:bookmarkEnd w:id="7"/>
      <w:r w:rsidDel="00000000" w:rsidR="00000000" w:rsidRPr="00000000">
        <w:rPr>
          <w:rtl w:val="0"/>
        </w:rPr>
        <w:t xml:space="preserve">2.Electricity access trends by Year and Income Group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dubis5dxukur" w:id="8"/>
      <w:bookmarkEnd w:id="8"/>
      <w:r w:rsidDel="00000000" w:rsidR="00000000" w:rsidRPr="00000000">
        <w:rPr>
          <w:rtl w:val="0"/>
        </w:rPr>
        <w:t xml:space="preserve">High Income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vdwopslxb11" w:id="9"/>
      <w:bookmarkEnd w:id="9"/>
      <w:r w:rsidDel="00000000" w:rsidR="00000000" w:rsidRPr="00000000">
        <w:rPr>
          <w:rtl w:val="0"/>
        </w:rPr>
        <w:t xml:space="preserve">High Income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.The high-income category has the highest access to electricity (167,481.67 units).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indicates a well-developed infrastructure and widespread availability of electricity in high-income regions.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90p2l4ml7vfv" w:id="10"/>
      <w:bookmarkEnd w:id="10"/>
      <w:r w:rsidDel="00000000" w:rsidR="00000000" w:rsidRPr="00000000">
        <w:rPr>
          <w:rtl w:val="0"/>
        </w:rPr>
        <w:t xml:space="preserve">Low Income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low-income category has the lowest access to electricity (15,014.39 units).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suggests significant challenges in electricity access in low-income regions, highlighting the need for infrastructure development and investment.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31snhtsp0myh" w:id="11"/>
      <w:bookmarkEnd w:id="11"/>
      <w:r w:rsidDel="00000000" w:rsidR="00000000" w:rsidRPr="00000000">
        <w:rPr>
          <w:rtl w:val="0"/>
        </w:rPr>
        <w:t xml:space="preserve">Lower Middle Income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lower middle-income category has a moderate access to electricity (76,636.34 units).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While better than low-income regions, there is still substantial room for improvement.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7uf1g3lho313" w:id="12"/>
      <w:bookmarkEnd w:id="12"/>
      <w:r w:rsidDel="00000000" w:rsidR="00000000" w:rsidRPr="00000000">
        <w:rPr>
          <w:rtl w:val="0"/>
        </w:rPr>
        <w:t xml:space="preserve">Upper Middle Income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upper middle-income category has relatively high access to electricity (102,275.7 units).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shows that upper middle-income regions have better infrastructure compared to lower middle-income and low-income regions, but still lag behind high-income regions.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2vtik844sbvn" w:id="13"/>
      <w:bookmarkEnd w:id="13"/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There is a clear disparity in access to electricity across different income levels, with high-income regions having the best access and low-income regions having the least.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Lower middle-income and upper middle-income regions show a progression in access to electricity, reflecting the economic development stages.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significant value in the (blank) category needs to be investigated to ensure data accuracy and proper categorization.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