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276" w:lineRule="auto"/>
      </w:pPr>
      <w:r>
        <w:rPr>
          <w:rFonts w:ascii="Aptos" w:hAnsi="Aptos"/>
          <w:b/>
          <w:i w:val="0"/>
          <w:color w:val="1468E8"/>
          <w:sz w:val="19"/>
        </w:rPr>
        <w:t>HCI &amp; GRAPHICS • PROJECT REPORT</w:t>
      </w:r>
    </w:p>
    <w:p>
      <w:pPr>
        <w:spacing w:after="460"/>
        <w:jc w:val="center"/>
      </w:pPr>
      <w:r>
        <w:drawing>
          <wp:inline xmlns:a="http://schemas.openxmlformats.org/drawingml/2006/main" xmlns:pic="http://schemas.openxmlformats.org/drawingml/2006/picture">
            <wp:extent cx="2011680" cy="1463040"/>
            <wp:docPr id="1" name="Picture 1" descr="SecureChat logo"/>
            <wp:cNvGraphicFramePr>
              <a:graphicFrameLocks noChangeAspect="1"/>
            </wp:cNvGraphicFramePr>
            <a:graphic>
              <a:graphicData uri="http://schemas.openxmlformats.org/drawingml/2006/picture">
                <pic:pic>
                  <pic:nvPicPr>
                    <pic:cNvPr id="0" name="securechat-logo-full.jpg"/>
                    <pic:cNvPicPr/>
                  </pic:nvPicPr>
                  <pic:blipFill>
                    <a:blip r:embed="rId11"/>
                    <a:stretch>
                      <a:fillRect/>
                    </a:stretch>
                  </pic:blipFill>
                  <pic:spPr>
                    <a:xfrm>
                      <a:off x="0" y="0"/>
                      <a:ext cx="2011680" cy="1463040"/>
                    </a:xfrm>
                    <a:prstGeom prst="rect"/>
                  </pic:spPr>
                </pic:pic>
              </a:graphicData>
            </a:graphic>
          </wp:inline>
        </w:drawing>
      </w:r>
    </w:p>
    <w:p>
      <w:pPr>
        <w:spacing w:after="200" w:line="276" w:lineRule="auto"/>
        <w:jc w:val="center"/>
      </w:pPr>
      <w:r>
        <w:rPr>
          <w:rFonts w:ascii="Aptos" w:hAnsi="Aptos"/>
          <w:b/>
          <w:i w:val="0"/>
          <w:color w:val="102A43"/>
          <w:sz w:val="54"/>
        </w:rPr>
        <w:t>Privacy and Data Ethics</w:t>
        <w:br/>
        <w:t>in UX Design</w:t>
      </w:r>
    </w:p>
    <w:p>
      <w:pPr>
        <w:spacing w:after="600" w:line="276" w:lineRule="auto"/>
        <w:jc w:val="center"/>
      </w:pPr>
      <w:r>
        <w:rPr>
          <w:rFonts w:ascii="Aptos" w:hAnsi="Aptos"/>
          <w:b w:val="0"/>
          <w:i w:val="0"/>
          <w:color w:val="64758B"/>
          <w:sz w:val="26"/>
        </w:rPr>
        <w:t>Human-centred design case study implemented through SecureChat</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9F8F4"/>
          </w:tcPr>
          <w:p>
            <w:pPr>
              <w:spacing w:after="0"/>
            </w:pPr>
            <w:r>
              <w:rPr>
                <w:rFonts w:ascii="Aptos" w:hAnsi="Aptos"/>
                <w:b/>
                <w:i w:val="0"/>
                <w:color w:val="1468E8"/>
                <w:sz w:val="18"/>
              </w:rPr>
              <w:t xml:space="preserve">PROJECT POSITION  </w:t>
            </w:r>
            <w:r>
              <w:rPr>
                <w:rFonts w:ascii="Aptos" w:hAnsi="Aptos"/>
                <w:b w:val="0"/>
                <w:i w:val="0"/>
                <w:color w:val="172B3A"/>
                <w:sz w:val="20"/>
              </w:rPr>
              <w:t>Privacy is a visible interaction between the user and system—not a hidden policy or purely technical claim.</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102A43"/>
            <w:tcMar>
              <w:top w:w="110" w:type="dxa"/>
              <w:start w:w="120" w:type="dxa"/>
              <w:bottom w:w="110" w:type="dxa"/>
              <w:end w:w="120" w:type="dxa"/>
            </w:tcMar>
          </w:tcPr>
          <w:p>
            <w:r>
              <w:rPr>
                <w:rFonts w:ascii="Aptos" w:hAnsi="Aptos"/>
                <w:b/>
                <w:i w:val="0"/>
                <w:color w:val="FFFFFF"/>
                <w:sz w:val="18"/>
              </w:rPr>
              <w:t>Academic detail</w:t>
            </w:r>
          </w:p>
        </w:tc>
        <w:tc>
          <w:tcPr>
            <w:tcW w:type="dxa" w:w="6860"/>
            <w:shd w:fill="102A43"/>
            <w:tcMar>
              <w:top w:w="110" w:type="dxa"/>
              <w:start w:w="120" w:type="dxa"/>
              <w:bottom w:w="110" w:type="dxa"/>
              <w:end w:w="120" w:type="dxa"/>
            </w:tcMar>
          </w:tcPr>
          <w:p>
            <w:r>
              <w:rPr>
                <w:rFonts w:ascii="Aptos" w:hAnsi="Aptos"/>
                <w:b/>
                <w:i w:val="0"/>
                <w:color w:val="FFFFFF"/>
                <w:sz w:val="18"/>
              </w:rPr>
              <w:t>Information</w:t>
            </w:r>
          </w:p>
        </w:tc>
      </w:tr>
      <w:tr>
        <w:tc>
          <w:tcPr>
            <w:tcW w:type="dxa" w:w="2500"/>
            <w:vAlign w:val="center"/>
            <w:tcMar>
              <w:top w:w="110" w:type="dxa"/>
              <w:start w:w="120" w:type="dxa"/>
              <w:bottom w:w="110" w:type="dxa"/>
              <w:end w:w="120" w:type="dxa"/>
            </w:tcMar>
          </w:tcPr>
          <w:p>
            <w:r>
              <w:rPr>
                <w:rFonts w:ascii="Aptos" w:hAnsi="Aptos"/>
                <w:b/>
                <w:i w:val="0"/>
                <w:color w:val="102A43"/>
                <w:sz w:val="17"/>
              </w:rPr>
              <w:t>Institution</w:t>
            </w:r>
          </w:p>
        </w:tc>
        <w:tc>
          <w:tcPr>
            <w:tcW w:type="dxa" w:w="6860"/>
            <w:vAlign w:val="center"/>
            <w:tcMar>
              <w:top w:w="110" w:type="dxa"/>
              <w:start w:w="120" w:type="dxa"/>
              <w:bottom w:w="110" w:type="dxa"/>
              <w:end w:w="120" w:type="dxa"/>
            </w:tcMar>
          </w:tcPr>
          <w:p>
            <w:r>
              <w:rPr>
                <w:rFonts w:ascii="Aptos" w:hAnsi="Aptos"/>
                <w:b w:val="0"/>
                <w:i w:val="0"/>
                <w:color w:val="172B3A"/>
                <w:sz w:val="17"/>
              </w:rPr>
              <w:t>Iqra University</w:t>
            </w:r>
          </w:p>
        </w:tc>
      </w:tr>
      <w:tr>
        <w:tc>
          <w:tcPr>
            <w:tcW w:type="dxa" w:w="2500"/>
            <w:vAlign w:val="center"/>
            <w:tcMar>
              <w:top w:w="110" w:type="dxa"/>
              <w:start w:w="120" w:type="dxa"/>
              <w:bottom w:w="110" w:type="dxa"/>
              <w:end w:w="120" w:type="dxa"/>
            </w:tcMar>
          </w:tcPr>
          <w:p>
            <w:r>
              <w:rPr>
                <w:rFonts w:ascii="Aptos" w:hAnsi="Aptos"/>
                <w:b/>
                <w:i w:val="0"/>
                <w:color w:val="102A43"/>
                <w:sz w:val="17"/>
              </w:rPr>
              <w:t>Programme</w:t>
            </w:r>
          </w:p>
        </w:tc>
        <w:tc>
          <w:tcPr>
            <w:tcW w:type="dxa" w:w="6860"/>
            <w:vAlign w:val="center"/>
            <w:tcMar>
              <w:top w:w="110" w:type="dxa"/>
              <w:start w:w="120" w:type="dxa"/>
              <w:bottom w:w="110" w:type="dxa"/>
              <w:end w:w="120" w:type="dxa"/>
            </w:tcMar>
          </w:tcPr>
          <w:p>
            <w:r>
              <w:rPr>
                <w:rFonts w:ascii="Aptos" w:hAnsi="Aptos"/>
                <w:b w:val="0"/>
                <w:i w:val="0"/>
                <w:color w:val="172B3A"/>
                <w:sz w:val="17"/>
              </w:rPr>
              <w:t>BS Computer Science</w:t>
            </w:r>
          </w:p>
        </w:tc>
      </w:tr>
      <w:tr>
        <w:tc>
          <w:tcPr>
            <w:tcW w:type="dxa" w:w="2500"/>
            <w:vAlign w:val="center"/>
            <w:tcMar>
              <w:top w:w="110" w:type="dxa"/>
              <w:start w:w="120" w:type="dxa"/>
              <w:bottom w:w="110" w:type="dxa"/>
              <w:end w:w="120" w:type="dxa"/>
            </w:tcMar>
          </w:tcPr>
          <w:p>
            <w:r>
              <w:rPr>
                <w:rFonts w:ascii="Aptos" w:hAnsi="Aptos"/>
                <w:b/>
                <w:i w:val="0"/>
                <w:color w:val="102A43"/>
                <w:sz w:val="17"/>
              </w:rPr>
              <w:t>Semester</w:t>
            </w:r>
          </w:p>
        </w:tc>
        <w:tc>
          <w:tcPr>
            <w:tcW w:type="dxa" w:w="6860"/>
            <w:vAlign w:val="center"/>
            <w:tcMar>
              <w:top w:w="110" w:type="dxa"/>
              <w:start w:w="120" w:type="dxa"/>
              <w:bottom w:w="110" w:type="dxa"/>
              <w:end w:w="120" w:type="dxa"/>
            </w:tcMar>
          </w:tcPr>
          <w:p>
            <w:r>
              <w:rPr>
                <w:rFonts w:ascii="Aptos" w:hAnsi="Aptos"/>
                <w:b w:val="0"/>
                <w:i w:val="0"/>
                <w:color w:val="172B3A"/>
                <w:sz w:val="17"/>
              </w:rPr>
              <w:t>5th Semester</w:t>
            </w:r>
          </w:p>
        </w:tc>
      </w:tr>
      <w:tr>
        <w:tc>
          <w:tcPr>
            <w:tcW w:type="dxa" w:w="2500"/>
            <w:vAlign w:val="center"/>
            <w:tcMar>
              <w:top w:w="110" w:type="dxa"/>
              <w:start w:w="120" w:type="dxa"/>
              <w:bottom w:w="110" w:type="dxa"/>
              <w:end w:w="120" w:type="dxa"/>
            </w:tcMar>
          </w:tcPr>
          <w:p>
            <w:r>
              <w:rPr>
                <w:rFonts w:ascii="Aptos" w:hAnsi="Aptos"/>
                <w:b/>
                <w:i w:val="0"/>
                <w:color w:val="102A43"/>
                <w:sz w:val="17"/>
              </w:rPr>
              <w:t>Course</w:t>
            </w:r>
          </w:p>
        </w:tc>
        <w:tc>
          <w:tcPr>
            <w:tcW w:type="dxa" w:w="6860"/>
            <w:vAlign w:val="center"/>
            <w:tcMar>
              <w:top w:w="110" w:type="dxa"/>
              <w:start w:w="120" w:type="dxa"/>
              <w:bottom w:w="110" w:type="dxa"/>
              <w:end w:w="120" w:type="dxa"/>
            </w:tcMar>
          </w:tcPr>
          <w:p>
            <w:r>
              <w:rPr>
                <w:rFonts w:ascii="Aptos" w:hAnsi="Aptos"/>
                <w:b w:val="0"/>
                <w:i w:val="0"/>
                <w:color w:val="172B3A"/>
                <w:sz w:val="17"/>
              </w:rPr>
              <w:t>Human–Computer Interaction &amp; Graphics</w:t>
            </w:r>
          </w:p>
        </w:tc>
      </w:tr>
      <w:tr>
        <w:tc>
          <w:tcPr>
            <w:tcW w:type="dxa" w:w="2500"/>
            <w:vAlign w:val="center"/>
            <w:tcMar>
              <w:top w:w="110" w:type="dxa"/>
              <w:start w:w="120" w:type="dxa"/>
              <w:bottom w:w="110" w:type="dxa"/>
              <w:end w:w="120" w:type="dxa"/>
            </w:tcMar>
          </w:tcPr>
          <w:p>
            <w:r>
              <w:rPr>
                <w:rFonts w:ascii="Aptos" w:hAnsi="Aptos"/>
                <w:b/>
                <w:i w:val="0"/>
                <w:color w:val="102A43"/>
                <w:sz w:val="17"/>
              </w:rPr>
              <w:t>Student</w:t>
            </w:r>
          </w:p>
        </w:tc>
        <w:tc>
          <w:tcPr>
            <w:tcW w:type="dxa" w:w="6860"/>
            <w:vAlign w:val="center"/>
            <w:tcMar>
              <w:top w:w="110" w:type="dxa"/>
              <w:start w:w="120" w:type="dxa"/>
              <w:bottom w:w="110" w:type="dxa"/>
              <w:end w:w="120" w:type="dxa"/>
            </w:tcMar>
          </w:tcPr>
          <w:p>
            <w:r>
              <w:rPr>
                <w:rFonts w:ascii="Aptos" w:hAnsi="Aptos"/>
                <w:b w:val="0"/>
                <w:i w:val="0"/>
                <w:color w:val="172B3A"/>
                <w:sz w:val="17"/>
              </w:rPr>
              <w:t>____________________________</w:t>
            </w:r>
          </w:p>
        </w:tc>
      </w:tr>
      <w:tr>
        <w:tc>
          <w:tcPr>
            <w:tcW w:type="dxa" w:w="2500"/>
            <w:vAlign w:val="center"/>
            <w:tcMar>
              <w:top w:w="110" w:type="dxa"/>
              <w:start w:w="120" w:type="dxa"/>
              <w:bottom w:w="110" w:type="dxa"/>
              <w:end w:w="120" w:type="dxa"/>
            </w:tcMar>
          </w:tcPr>
          <w:p>
            <w:r>
              <w:rPr>
                <w:rFonts w:ascii="Aptos" w:hAnsi="Aptos"/>
                <w:b/>
                <w:i w:val="0"/>
                <w:color w:val="102A43"/>
                <w:sz w:val="17"/>
              </w:rPr>
              <w:t>Instructor</w:t>
            </w:r>
          </w:p>
        </w:tc>
        <w:tc>
          <w:tcPr>
            <w:tcW w:type="dxa" w:w="6860"/>
            <w:vAlign w:val="center"/>
            <w:tcMar>
              <w:top w:w="110" w:type="dxa"/>
              <w:start w:w="120" w:type="dxa"/>
              <w:bottom w:w="110" w:type="dxa"/>
              <w:end w:w="120" w:type="dxa"/>
            </w:tcMar>
          </w:tcPr>
          <w:p>
            <w:r>
              <w:rPr>
                <w:rFonts w:ascii="Aptos" w:hAnsi="Aptos"/>
                <w:b w:val="0"/>
                <w:i w:val="0"/>
                <w:color w:val="172B3A"/>
                <w:sz w:val="17"/>
              </w:rPr>
              <w:t>____________________________</w:t>
            </w:r>
          </w:p>
        </w:tc>
      </w:tr>
      <w:tr>
        <w:tc>
          <w:tcPr>
            <w:tcW w:type="dxa" w:w="2500"/>
            <w:vAlign w:val="center"/>
            <w:tcMar>
              <w:top w:w="110" w:type="dxa"/>
              <w:start w:w="120" w:type="dxa"/>
              <w:bottom w:w="110" w:type="dxa"/>
              <w:end w:w="120" w:type="dxa"/>
            </w:tcMar>
          </w:tcPr>
          <w:p>
            <w:r>
              <w:rPr>
                <w:rFonts w:ascii="Aptos" w:hAnsi="Aptos"/>
                <w:b/>
                <w:i w:val="0"/>
                <w:color w:val="102A43"/>
                <w:sz w:val="17"/>
              </w:rPr>
              <w:t>Submission date</w:t>
            </w:r>
          </w:p>
        </w:tc>
        <w:tc>
          <w:tcPr>
            <w:tcW w:type="dxa" w:w="6860"/>
            <w:vAlign w:val="center"/>
            <w:tcMar>
              <w:top w:w="110" w:type="dxa"/>
              <w:start w:w="120" w:type="dxa"/>
              <w:bottom w:w="110" w:type="dxa"/>
              <w:end w:w="120" w:type="dxa"/>
            </w:tcMar>
          </w:tcPr>
          <w:p>
            <w:r>
              <w:rPr>
                <w:rFonts w:ascii="Aptos" w:hAnsi="Aptos"/>
                <w:b w:val="0"/>
                <w:i w:val="0"/>
                <w:color w:val="172B3A"/>
                <w:sz w:val="17"/>
              </w:rPr>
              <w:t>____________________________</w:t>
            </w:r>
          </w:p>
        </w:tc>
      </w:tr>
    </w:tbl>
    <w:p>
      <w:r>
        <w:br w:type="page"/>
      </w:r>
    </w:p>
    <w:p>
      <w:pPr>
        <w:pStyle w:val="Heading1"/>
      </w:pPr>
      <w:r>
        <w:t>1. Introduction</w:t>
      </w:r>
    </w:p>
    <w:p>
      <w:pPr>
        <w:pStyle w:val="Heading2"/>
      </w:pPr>
      <w:r>
        <w:t>Problem Statement</w:t>
      </w:r>
    </w:p>
    <w:p>
      <w:pPr>
        <w:spacing w:after="120" w:line="276" w:lineRule="auto"/>
      </w:pPr>
      <w:r>
        <w:rPr>
          <w:rFonts w:ascii="Aptos" w:hAnsi="Aptos"/>
          <w:b w:val="0"/>
          <w:i w:val="0"/>
          <w:color w:val="172B3A"/>
          <w:sz w:val="20"/>
        </w:rPr>
        <w:t>Digital messaging interfaces often request personal information and expose behavioural signals without helping users understand the consequences. Privacy controls may be hidden, technical or disconnected from the moment of choice. This creates uncertainty, weak consent and reduced trust.</w:t>
      </w:r>
    </w:p>
    <w:p>
      <w:pPr>
        <w:pStyle w:val="Heading2"/>
      </w:pPr>
      <w:r>
        <w:t>Objectives</w:t>
      </w:r>
    </w:p>
    <w:p>
      <w:pPr>
        <w:pStyle w:val="ListBullet"/>
        <w:spacing w:after="60" w:line="269" w:lineRule="auto"/>
      </w:pPr>
      <w:r>
        <w:rPr>
          <w:rFonts w:ascii="Aptos" w:hAnsi="Aptos"/>
          <w:b w:val="0"/>
          <w:i w:val="0"/>
          <w:color w:val="172B3A"/>
          <w:sz w:val="20"/>
        </w:rPr>
        <w:t>Design an understandable consent-first communication flow.</w:t>
      </w:r>
    </w:p>
    <w:p>
      <w:pPr>
        <w:pStyle w:val="ListBullet"/>
        <w:spacing w:after="60" w:line="269" w:lineRule="auto"/>
      </w:pPr>
      <w:r>
        <w:rPr>
          <w:rFonts w:ascii="Aptos" w:hAnsi="Aptos"/>
          <w:b w:val="0"/>
          <w:i w:val="0"/>
          <w:color w:val="172B3A"/>
          <w:sz w:val="20"/>
        </w:rPr>
        <w:t>Make privacy consequences visible beside each relevant control.</w:t>
      </w:r>
    </w:p>
    <w:p>
      <w:pPr>
        <w:pStyle w:val="ListBullet"/>
        <w:spacing w:after="60" w:line="269" w:lineRule="auto"/>
      </w:pPr>
      <w:r>
        <w:rPr>
          <w:rFonts w:ascii="Aptos" w:hAnsi="Aptos"/>
          <w:b w:val="0"/>
          <w:i w:val="0"/>
          <w:color w:val="172B3A"/>
          <w:sz w:val="20"/>
        </w:rPr>
        <w:t>Give users meaningful control over identity, presence, receipts, typing, retention and stored data.</w:t>
      </w:r>
    </w:p>
    <w:p>
      <w:pPr>
        <w:pStyle w:val="ListBullet"/>
        <w:spacing w:after="60" w:line="269" w:lineRule="auto"/>
      </w:pPr>
      <w:r>
        <w:rPr>
          <w:rFonts w:ascii="Aptos" w:hAnsi="Aptos"/>
          <w:b w:val="0"/>
          <w:i w:val="0"/>
          <w:color w:val="172B3A"/>
          <w:sz w:val="20"/>
        </w:rPr>
        <w:t>Apply Shneiderman’s Eight Golden Rules to a realistic interactive system.</w:t>
      </w:r>
    </w:p>
    <w:p>
      <w:pPr>
        <w:pStyle w:val="ListBullet"/>
        <w:spacing w:after="60" w:line="269" w:lineRule="auto"/>
      </w:pPr>
      <w:r>
        <w:rPr>
          <w:rFonts w:ascii="Aptos" w:hAnsi="Aptos"/>
          <w:b w:val="0"/>
          <w:i w:val="0"/>
          <w:color w:val="172B3A"/>
          <w:sz w:val="20"/>
        </w:rPr>
        <w:t>Support accessibility and honest security communication without overwhelming users.</w:t>
      </w:r>
    </w:p>
    <w:p>
      <w:pPr>
        <w:pStyle w:val="Heading2"/>
      </w:pPr>
      <w:r>
        <w:t>Scope</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102A43"/>
            <w:tcMar>
              <w:top w:w="110" w:type="dxa"/>
              <w:start w:w="120" w:type="dxa"/>
              <w:bottom w:w="110" w:type="dxa"/>
              <w:end w:w="120" w:type="dxa"/>
            </w:tcMar>
          </w:tcPr>
          <w:p>
            <w:r>
              <w:rPr>
                <w:rFonts w:ascii="Aptos" w:hAnsi="Aptos"/>
                <w:b/>
                <w:i w:val="0"/>
                <w:color w:val="FFFFFF"/>
                <w:sz w:val="18"/>
              </w:rPr>
              <w:t>Included</w:t>
            </w:r>
          </w:p>
        </w:tc>
        <w:tc>
          <w:tcPr>
            <w:tcW w:type="dxa" w:w="7060"/>
            <w:shd w:fill="102A43"/>
            <w:tcMar>
              <w:top w:w="110" w:type="dxa"/>
              <w:start w:w="120" w:type="dxa"/>
              <w:bottom w:w="110" w:type="dxa"/>
              <w:end w:w="120" w:type="dxa"/>
            </w:tcMar>
          </w:tcPr>
          <w:p>
            <w:r>
              <w:rPr>
                <w:rFonts w:ascii="Aptos" w:hAnsi="Aptos"/>
                <w:b/>
                <w:i w:val="0"/>
                <w:color w:val="FFFFFF"/>
                <w:sz w:val="18"/>
              </w:rPr>
              <w:t>Boundary</w:t>
            </w:r>
          </w:p>
        </w:tc>
      </w:tr>
      <w:tr>
        <w:tc>
          <w:tcPr>
            <w:tcW w:type="dxa" w:w="2300"/>
            <w:vAlign w:val="center"/>
            <w:tcMar>
              <w:top w:w="110" w:type="dxa"/>
              <w:start w:w="120" w:type="dxa"/>
              <w:bottom w:w="110" w:type="dxa"/>
              <w:end w:w="120" w:type="dxa"/>
            </w:tcMar>
          </w:tcPr>
          <w:p>
            <w:r>
              <w:rPr>
                <w:rFonts w:ascii="Aptos" w:hAnsi="Aptos"/>
                <w:b/>
                <w:i w:val="0"/>
                <w:color w:val="102A43"/>
                <w:sz w:val="17"/>
              </w:rPr>
              <w:t>HCI focus</w:t>
            </w:r>
          </w:p>
        </w:tc>
        <w:tc>
          <w:tcPr>
            <w:tcW w:type="dxa" w:w="7060"/>
            <w:vAlign w:val="center"/>
            <w:tcMar>
              <w:top w:w="110" w:type="dxa"/>
              <w:start w:w="120" w:type="dxa"/>
              <w:bottom w:w="110" w:type="dxa"/>
              <w:end w:w="120" w:type="dxa"/>
            </w:tcMar>
          </w:tcPr>
          <w:p>
            <w:r>
              <w:rPr>
                <w:rFonts w:ascii="Aptos" w:hAnsi="Aptos"/>
                <w:b w:val="0"/>
                <w:i w:val="0"/>
                <w:color w:val="172B3A"/>
                <w:sz w:val="17"/>
              </w:rPr>
              <w:t>Usability, learnability, feedback, consistency, accessibility, control and error recovery.</w:t>
            </w:r>
          </w:p>
        </w:tc>
      </w:tr>
      <w:tr>
        <w:tc>
          <w:tcPr>
            <w:tcW w:type="dxa" w:w="2300"/>
            <w:vAlign w:val="center"/>
            <w:tcMar>
              <w:top w:w="110" w:type="dxa"/>
              <w:start w:w="120" w:type="dxa"/>
              <w:bottom w:w="110" w:type="dxa"/>
              <w:end w:w="120" w:type="dxa"/>
            </w:tcMar>
          </w:tcPr>
          <w:p>
            <w:r>
              <w:rPr>
                <w:rFonts w:ascii="Aptos" w:hAnsi="Aptos"/>
                <w:b/>
                <w:i w:val="0"/>
                <w:color w:val="102A43"/>
                <w:sz w:val="17"/>
              </w:rPr>
              <w:t>Data ethics</w:t>
            </w:r>
          </w:p>
        </w:tc>
        <w:tc>
          <w:tcPr>
            <w:tcW w:type="dxa" w:w="7060"/>
            <w:vAlign w:val="center"/>
            <w:tcMar>
              <w:top w:w="110" w:type="dxa"/>
              <w:start w:w="120" w:type="dxa"/>
              <w:bottom w:w="110" w:type="dxa"/>
              <w:end w:w="120" w:type="dxa"/>
            </w:tcMar>
          </w:tcPr>
          <w:p>
            <w:r>
              <w:rPr>
                <w:rFonts w:ascii="Aptos" w:hAnsi="Aptos"/>
                <w:b w:val="0"/>
                <w:i w:val="0"/>
                <w:color w:val="172B3A"/>
                <w:sz w:val="17"/>
              </w:rPr>
              <w:t>Minimisation, informed consent, transparency, user agency and responsible defaults.</w:t>
            </w:r>
          </w:p>
        </w:tc>
      </w:tr>
      <w:tr>
        <w:tc>
          <w:tcPr>
            <w:tcW w:type="dxa" w:w="2300"/>
            <w:vAlign w:val="center"/>
            <w:tcMar>
              <w:top w:w="110" w:type="dxa"/>
              <w:start w:w="120" w:type="dxa"/>
              <w:bottom w:w="110" w:type="dxa"/>
              <w:end w:w="120" w:type="dxa"/>
            </w:tcMar>
          </w:tcPr>
          <w:p>
            <w:r>
              <w:rPr>
                <w:rFonts w:ascii="Aptos" w:hAnsi="Aptos"/>
                <w:b/>
                <w:i w:val="0"/>
                <w:color w:val="102A43"/>
                <w:sz w:val="17"/>
              </w:rPr>
              <w:t>Interactive context</w:t>
            </w:r>
          </w:p>
        </w:tc>
        <w:tc>
          <w:tcPr>
            <w:tcW w:type="dxa" w:w="7060"/>
            <w:vAlign w:val="center"/>
            <w:tcMar>
              <w:top w:w="110" w:type="dxa"/>
              <w:start w:w="120" w:type="dxa"/>
              <w:bottom w:w="110" w:type="dxa"/>
              <w:end w:w="120" w:type="dxa"/>
            </w:tcMar>
          </w:tcPr>
          <w:p>
            <w:r>
              <w:rPr>
                <w:rFonts w:ascii="Aptos" w:hAnsi="Aptos"/>
                <w:b w:val="0"/>
                <w:i w:val="0"/>
                <w:color w:val="172B3A"/>
                <w:sz w:val="17"/>
              </w:rPr>
              <w:t>A responsive secure-chat web application used as a design case study.</w:t>
            </w:r>
          </w:p>
        </w:tc>
      </w:tr>
      <w:tr>
        <w:tc>
          <w:tcPr>
            <w:tcW w:type="dxa" w:w="2300"/>
            <w:vAlign w:val="center"/>
            <w:tcMar>
              <w:top w:w="110" w:type="dxa"/>
              <w:start w:w="120" w:type="dxa"/>
              <w:bottom w:w="110" w:type="dxa"/>
              <w:end w:w="120" w:type="dxa"/>
            </w:tcMar>
          </w:tcPr>
          <w:p>
            <w:r>
              <w:rPr>
                <w:rFonts w:ascii="Aptos" w:hAnsi="Aptos"/>
                <w:b/>
                <w:i w:val="0"/>
                <w:color w:val="102A43"/>
                <w:sz w:val="17"/>
              </w:rPr>
              <w:t>Excluded</w:t>
            </w:r>
          </w:p>
        </w:tc>
        <w:tc>
          <w:tcPr>
            <w:tcW w:type="dxa" w:w="7060"/>
            <w:vAlign w:val="center"/>
            <w:tcMar>
              <w:top w:w="110" w:type="dxa"/>
              <w:start w:w="120" w:type="dxa"/>
              <w:bottom w:w="110" w:type="dxa"/>
              <w:end w:w="120" w:type="dxa"/>
            </w:tcMar>
          </w:tcPr>
          <w:p>
            <w:r>
              <w:rPr>
                <w:rFonts w:ascii="Aptos" w:hAnsi="Aptos"/>
                <w:b w:val="0"/>
                <w:i w:val="0"/>
                <w:color w:val="172B3A"/>
                <w:sz w:val="17"/>
              </w:rPr>
              <w:t>Production-scale deployment, commercial operations and claims of audited messenger-level security.</w:t>
            </w:r>
          </w:p>
        </w:tc>
      </w:tr>
    </w:tbl>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FFF5D9"/>
          </w:tcPr>
          <w:p>
            <w:pPr>
              <w:spacing w:after="0"/>
            </w:pPr>
            <w:r>
              <w:rPr>
                <w:rFonts w:ascii="Aptos" w:hAnsi="Aptos"/>
                <w:b/>
                <w:i w:val="0"/>
                <w:color w:val="1468E8"/>
                <w:sz w:val="18"/>
              </w:rPr>
              <w:t xml:space="preserve">RESEARCH QUESTION  </w:t>
            </w:r>
            <w:r>
              <w:rPr>
                <w:rFonts w:ascii="Aptos" w:hAnsi="Aptos"/>
                <w:b w:val="0"/>
                <w:i w:val="0"/>
                <w:color w:val="172B3A"/>
                <w:sz w:val="20"/>
              </w:rPr>
              <w:t>How can a chat interface make privacy understandable and actionable while remaining familiar and efficient?</w:t>
            </w:r>
          </w:p>
        </w:tc>
      </w:tr>
    </w:tbl>
    <w:p>
      <w:pPr>
        <w:spacing w:after="0"/>
      </w:pPr>
    </w:p>
    <w:p>
      <w:r>
        <w:br w:type="page"/>
      </w:r>
    </w:p>
    <w:p>
      <w:pPr>
        <w:pStyle w:val="Heading1"/>
      </w:pPr>
      <w:r>
        <w:t>2. System Overview</w:t>
      </w:r>
    </w:p>
    <w:p>
      <w:pPr>
        <w:pStyle w:val="Heading2"/>
      </w:pPr>
      <w:r>
        <w:t>SecureChat — Short Overview</w:t>
      </w:r>
    </w:p>
    <w:p>
      <w:pPr>
        <w:spacing w:after="120" w:line="276" w:lineRule="auto"/>
      </w:pPr>
      <w:r>
        <w:rPr>
          <w:rFonts w:ascii="Aptos" w:hAnsi="Aptos"/>
          <w:b w:val="0"/>
          <w:i w:val="0"/>
          <w:color w:val="172B3A"/>
          <w:sz w:val="20"/>
        </w:rPr>
        <w:t>SecureChat is an academic messaging prototype that embeds privacy decisions into normal chat tasks. Users can discover accounts through limited username suggestions, request consent before interaction, exchange protected content, manage visibility, and review or remove their data.</w:t>
      </w:r>
    </w:p>
    <w:p>
      <w:pPr>
        <w:pStyle w:val="Heading2"/>
      </w:pPr>
      <w:r>
        <w:t>Main Features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02A43"/>
            <w:tcMar>
              <w:top w:w="110" w:type="dxa"/>
              <w:start w:w="120" w:type="dxa"/>
              <w:bottom w:w="110" w:type="dxa"/>
              <w:end w:w="120" w:type="dxa"/>
            </w:tcMar>
          </w:tcPr>
          <w:p>
            <w:r>
              <w:rPr>
                <w:rFonts w:ascii="Aptos" w:hAnsi="Aptos"/>
                <w:b/>
                <w:i w:val="0"/>
                <w:color w:val="FFFFFF"/>
                <w:sz w:val="18"/>
              </w:rPr>
              <w:t>Feature</w:t>
            </w:r>
          </w:p>
        </w:tc>
        <w:tc>
          <w:tcPr>
            <w:tcW w:type="dxa" w:w="7160"/>
            <w:shd w:fill="102A43"/>
            <w:tcMar>
              <w:top w:w="110" w:type="dxa"/>
              <w:start w:w="120" w:type="dxa"/>
              <w:bottom w:w="110" w:type="dxa"/>
              <w:end w:w="120" w:type="dxa"/>
            </w:tcMar>
          </w:tcPr>
          <w:p>
            <w:r>
              <w:rPr>
                <w:rFonts w:ascii="Aptos" w:hAnsi="Aptos"/>
                <w:b/>
                <w:i w:val="0"/>
                <w:color w:val="FFFFFF"/>
                <w:sz w:val="18"/>
              </w:rPr>
              <w:t>User value</w:t>
            </w:r>
          </w:p>
        </w:tc>
      </w:tr>
      <w:tr>
        <w:tc>
          <w:tcPr>
            <w:tcW w:type="dxa" w:w="2200"/>
            <w:vAlign w:val="center"/>
            <w:tcMar>
              <w:top w:w="110" w:type="dxa"/>
              <w:start w:w="120" w:type="dxa"/>
              <w:bottom w:w="110" w:type="dxa"/>
              <w:end w:w="120" w:type="dxa"/>
            </w:tcMar>
          </w:tcPr>
          <w:p>
            <w:r>
              <w:rPr>
                <w:rFonts w:ascii="Aptos" w:hAnsi="Aptos"/>
                <w:b/>
                <w:i w:val="0"/>
                <w:color w:val="102A43"/>
                <w:sz w:val="17"/>
              </w:rPr>
              <w:t>Consent-first requests</w:t>
            </w:r>
          </w:p>
        </w:tc>
        <w:tc>
          <w:tcPr>
            <w:tcW w:type="dxa" w:w="7160"/>
            <w:vAlign w:val="center"/>
            <w:tcMar>
              <w:top w:w="110" w:type="dxa"/>
              <w:start w:w="120" w:type="dxa"/>
              <w:bottom w:w="110" w:type="dxa"/>
              <w:end w:w="120" w:type="dxa"/>
            </w:tcMar>
          </w:tcPr>
          <w:p>
            <w:r>
              <w:rPr>
                <w:rFonts w:ascii="Aptos" w:hAnsi="Aptos"/>
                <w:b w:val="0"/>
                <w:i w:val="0"/>
                <w:color w:val="172B3A"/>
                <w:sz w:val="17"/>
              </w:rPr>
              <w:t>The receiver sees an introduction and chooses Accept or Decline before relationship signals are shared.</w:t>
            </w:r>
          </w:p>
        </w:tc>
      </w:tr>
      <w:tr>
        <w:tc>
          <w:tcPr>
            <w:tcW w:type="dxa" w:w="2200"/>
            <w:vAlign w:val="center"/>
            <w:tcMar>
              <w:top w:w="110" w:type="dxa"/>
              <w:start w:w="120" w:type="dxa"/>
              <w:bottom w:w="110" w:type="dxa"/>
              <w:end w:w="120" w:type="dxa"/>
            </w:tcMar>
          </w:tcPr>
          <w:p>
            <w:r>
              <w:rPr>
                <w:rFonts w:ascii="Aptos" w:hAnsi="Aptos"/>
                <w:b/>
                <w:i w:val="0"/>
                <w:color w:val="102A43"/>
                <w:sz w:val="17"/>
              </w:rPr>
              <w:t>Browser E2EE</w:t>
            </w:r>
          </w:p>
        </w:tc>
        <w:tc>
          <w:tcPr>
            <w:tcW w:type="dxa" w:w="7160"/>
            <w:vAlign w:val="center"/>
            <w:tcMar>
              <w:top w:w="110" w:type="dxa"/>
              <w:start w:w="120" w:type="dxa"/>
              <w:bottom w:w="110" w:type="dxa"/>
              <w:end w:w="120" w:type="dxa"/>
            </w:tcMar>
          </w:tcPr>
          <w:p>
            <w:r>
              <w:rPr>
                <w:rFonts w:ascii="Aptos" w:hAnsi="Aptos"/>
                <w:b w:val="0"/>
                <w:i w:val="0"/>
                <w:color w:val="172B3A"/>
                <w:sz w:val="17"/>
              </w:rPr>
              <w:t>Message, attachment and voice-note content is encrypted in registered browsers.</w:t>
            </w:r>
          </w:p>
        </w:tc>
      </w:tr>
      <w:tr>
        <w:tc>
          <w:tcPr>
            <w:tcW w:type="dxa" w:w="2200"/>
            <w:vAlign w:val="center"/>
            <w:tcMar>
              <w:top w:w="110" w:type="dxa"/>
              <w:start w:w="120" w:type="dxa"/>
              <w:bottom w:w="110" w:type="dxa"/>
              <w:end w:w="120" w:type="dxa"/>
            </w:tcMar>
          </w:tcPr>
          <w:p>
            <w:r>
              <w:rPr>
                <w:rFonts w:ascii="Aptos" w:hAnsi="Aptos"/>
                <w:b/>
                <w:i w:val="0"/>
                <w:color w:val="102A43"/>
                <w:sz w:val="17"/>
              </w:rPr>
              <w:t>Privacy controls</w:t>
            </w:r>
          </w:p>
        </w:tc>
        <w:tc>
          <w:tcPr>
            <w:tcW w:type="dxa" w:w="7160"/>
            <w:vAlign w:val="center"/>
            <w:tcMar>
              <w:top w:w="110" w:type="dxa"/>
              <w:start w:w="120" w:type="dxa"/>
              <w:bottom w:w="110" w:type="dxa"/>
              <w:end w:w="120" w:type="dxa"/>
            </w:tcMar>
          </w:tcPr>
          <w:p>
            <w:r>
              <w:rPr>
                <w:rFonts w:ascii="Aptos" w:hAnsi="Aptos"/>
                <w:b w:val="0"/>
                <w:i w:val="0"/>
                <w:color w:val="172B3A"/>
                <w:sz w:val="17"/>
              </w:rPr>
              <w:t>Discoverability, profile visibility, online status, receipts, typing and notifications are configurable.</w:t>
            </w:r>
          </w:p>
        </w:tc>
      </w:tr>
      <w:tr>
        <w:tc>
          <w:tcPr>
            <w:tcW w:type="dxa" w:w="2200"/>
            <w:vAlign w:val="center"/>
            <w:tcMar>
              <w:top w:w="110" w:type="dxa"/>
              <w:start w:w="120" w:type="dxa"/>
              <w:bottom w:w="110" w:type="dxa"/>
              <w:end w:w="120" w:type="dxa"/>
            </w:tcMar>
          </w:tcPr>
          <w:p>
            <w:r>
              <w:rPr>
                <w:rFonts w:ascii="Aptos" w:hAnsi="Aptos"/>
                <w:b/>
                <w:i w:val="0"/>
                <w:color w:val="102A43"/>
                <w:sz w:val="17"/>
              </w:rPr>
              <w:t>Safe recovery</w:t>
            </w:r>
          </w:p>
        </w:tc>
        <w:tc>
          <w:tcPr>
            <w:tcW w:type="dxa" w:w="7160"/>
            <w:vAlign w:val="center"/>
            <w:tcMar>
              <w:top w:w="110" w:type="dxa"/>
              <w:start w:w="120" w:type="dxa"/>
              <w:bottom w:w="110" w:type="dxa"/>
              <w:end w:w="120" w:type="dxa"/>
            </w:tcMar>
          </w:tcPr>
          <w:p>
            <w:r>
              <w:rPr>
                <w:rFonts w:ascii="Aptos" w:hAnsi="Aptos"/>
                <w:b w:val="0"/>
                <w:i w:val="0"/>
                <w:color w:val="172B3A"/>
                <w:sz w:val="17"/>
              </w:rPr>
              <w:t>Users can cancel requests, edit/delete messages, clear their own chat view and confirm destructive actions.</w:t>
            </w:r>
          </w:p>
        </w:tc>
      </w:tr>
      <w:tr>
        <w:tc>
          <w:tcPr>
            <w:tcW w:type="dxa" w:w="2200"/>
            <w:vAlign w:val="center"/>
            <w:tcMar>
              <w:top w:w="110" w:type="dxa"/>
              <w:start w:w="120" w:type="dxa"/>
              <w:bottom w:w="110" w:type="dxa"/>
              <w:end w:w="120" w:type="dxa"/>
            </w:tcMar>
          </w:tcPr>
          <w:p>
            <w:r>
              <w:rPr>
                <w:rFonts w:ascii="Aptos" w:hAnsi="Aptos"/>
                <w:b/>
                <w:i w:val="0"/>
                <w:color w:val="102A43"/>
                <w:sz w:val="17"/>
              </w:rPr>
              <w:t>Accessibility</w:t>
            </w:r>
          </w:p>
        </w:tc>
        <w:tc>
          <w:tcPr>
            <w:tcW w:type="dxa" w:w="7160"/>
            <w:vAlign w:val="center"/>
            <w:tcMar>
              <w:top w:w="110" w:type="dxa"/>
              <w:start w:w="120" w:type="dxa"/>
              <w:bottom w:w="110" w:type="dxa"/>
              <w:end w:w="120" w:type="dxa"/>
            </w:tcMar>
          </w:tcPr>
          <w:p>
            <w:r>
              <w:rPr>
                <w:rFonts w:ascii="Aptos" w:hAnsi="Aptos"/>
                <w:b w:val="0"/>
                <w:i w:val="0"/>
                <w:color w:val="172B3A"/>
                <w:sz w:val="17"/>
              </w:rPr>
              <w:t>Text size, contrast, reduced motion, keyboard focus and understandable status feedback are supported.</w:t>
            </w:r>
          </w:p>
        </w:tc>
      </w:tr>
      <w:tr>
        <w:tc>
          <w:tcPr>
            <w:tcW w:type="dxa" w:w="2200"/>
            <w:vAlign w:val="center"/>
            <w:tcMar>
              <w:top w:w="110" w:type="dxa"/>
              <w:start w:w="120" w:type="dxa"/>
              <w:bottom w:w="110" w:type="dxa"/>
              <w:end w:w="120" w:type="dxa"/>
            </w:tcMar>
          </w:tcPr>
          <w:p>
            <w:r>
              <w:rPr>
                <w:rFonts w:ascii="Aptos" w:hAnsi="Aptos"/>
                <w:b/>
                <w:i w:val="0"/>
                <w:color w:val="102A43"/>
                <w:sz w:val="17"/>
              </w:rPr>
              <w:t>Data control</w:t>
            </w:r>
          </w:p>
        </w:tc>
        <w:tc>
          <w:tcPr>
            <w:tcW w:type="dxa" w:w="7160"/>
            <w:vAlign w:val="center"/>
            <w:tcMar>
              <w:top w:w="110" w:type="dxa"/>
              <w:start w:w="120" w:type="dxa"/>
              <w:bottom w:w="110" w:type="dxa"/>
              <w:end w:w="120" w:type="dxa"/>
            </w:tcMar>
          </w:tcPr>
          <w:p>
            <w:r>
              <w:rPr>
                <w:rFonts w:ascii="Aptos" w:hAnsi="Aptos"/>
                <w:b w:val="0"/>
                <w:i w:val="0"/>
                <w:color w:val="172B3A"/>
                <w:sz w:val="17"/>
              </w:rPr>
              <w:t>Users can request an encrypted archive and access protected account deletion.</w:t>
            </w:r>
          </w:p>
        </w:tc>
      </w:tr>
    </w:tbl>
    <w:p>
      <w:pPr>
        <w:pStyle w:val="Heading2"/>
      </w:pPr>
      <w:r>
        <w:t>Primary User Flow</w:t>
      </w:r>
    </w:p>
    <w:tbl>
      <w:tblPr>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110" w:type="dxa"/>
              <w:start w:w="120" w:type="dxa"/>
              <w:bottom w:w="110" w:type="dxa"/>
              <w:end w:w="120" w:type="dxa"/>
            </w:tcMar>
            <w:shd w:fill="EFF6FF"/>
          </w:tcPr>
          <w:p>
            <w:pPr>
              <w:jc w:val="center"/>
            </w:pPr>
            <w:r>
              <w:rPr>
                <w:rFonts w:ascii="Aptos" w:hAnsi="Aptos"/>
                <w:b/>
                <w:i w:val="0"/>
                <w:color w:val="1468E8"/>
                <w:sz w:val="28"/>
              </w:rPr>
              <w:t>01</w:t>
              <w:br/>
            </w:r>
            <w:r>
              <w:rPr>
                <w:rFonts w:ascii="Aptos" w:hAnsi="Aptos"/>
                <w:b/>
                <w:i w:val="0"/>
                <w:color w:val="102A43"/>
                <w:sz w:val="18"/>
              </w:rPr>
              <w:t>Discover</w:t>
              <w:br/>
            </w:r>
            <w:r>
              <w:rPr>
                <w:rFonts w:ascii="Aptos" w:hAnsi="Aptos"/>
                <w:b w:val="0"/>
                <w:i w:val="0"/>
                <w:color w:val="64758B"/>
                <w:sz w:val="16"/>
              </w:rPr>
              <w:t>Type 2+ username characters</w:t>
            </w:r>
          </w:p>
        </w:tc>
        <w:tc>
          <w:tcPr>
            <w:tcW w:type="dxa" w:w="1872"/>
            <w:tcMar>
              <w:top w:w="110" w:type="dxa"/>
              <w:start w:w="120" w:type="dxa"/>
              <w:bottom w:w="110" w:type="dxa"/>
              <w:end w:w="120" w:type="dxa"/>
            </w:tcMar>
            <w:shd w:fill="E9F8F4"/>
          </w:tcPr>
          <w:p>
            <w:pPr>
              <w:jc w:val="center"/>
            </w:pPr>
            <w:r>
              <w:rPr>
                <w:rFonts w:ascii="Aptos" w:hAnsi="Aptos"/>
                <w:b/>
                <w:i w:val="0"/>
                <w:color w:val="1468E8"/>
                <w:sz w:val="28"/>
              </w:rPr>
              <w:t>02</w:t>
              <w:br/>
            </w:r>
            <w:r>
              <w:rPr>
                <w:rFonts w:ascii="Aptos" w:hAnsi="Aptos"/>
                <w:b/>
                <w:i w:val="0"/>
                <w:color w:val="102A43"/>
                <w:sz w:val="18"/>
              </w:rPr>
              <w:t>Request</w:t>
              <w:br/>
            </w:r>
            <w:r>
              <w:rPr>
                <w:rFonts w:ascii="Aptos" w:hAnsi="Aptos"/>
                <w:b w:val="0"/>
                <w:i w:val="0"/>
                <w:color w:val="64758B"/>
                <w:sz w:val="16"/>
              </w:rPr>
              <w:t>Send one introduction</w:t>
            </w:r>
          </w:p>
        </w:tc>
        <w:tc>
          <w:tcPr>
            <w:tcW w:type="dxa" w:w="1872"/>
            <w:tcMar>
              <w:top w:w="110" w:type="dxa"/>
              <w:start w:w="120" w:type="dxa"/>
              <w:bottom w:w="110" w:type="dxa"/>
              <w:end w:w="120" w:type="dxa"/>
            </w:tcMar>
            <w:shd w:fill="EFF6FF"/>
          </w:tcPr>
          <w:p>
            <w:pPr>
              <w:jc w:val="center"/>
            </w:pPr>
            <w:r>
              <w:rPr>
                <w:rFonts w:ascii="Aptos" w:hAnsi="Aptos"/>
                <w:b/>
                <w:i w:val="0"/>
                <w:color w:val="1468E8"/>
                <w:sz w:val="28"/>
              </w:rPr>
              <w:t>03</w:t>
              <w:br/>
            </w:r>
            <w:r>
              <w:rPr>
                <w:rFonts w:ascii="Aptos" w:hAnsi="Aptos"/>
                <w:b/>
                <w:i w:val="0"/>
                <w:color w:val="102A43"/>
                <w:sz w:val="18"/>
              </w:rPr>
              <w:t>Consent</w:t>
              <w:br/>
            </w:r>
            <w:r>
              <w:rPr>
                <w:rFonts w:ascii="Aptos" w:hAnsi="Aptos"/>
                <w:b w:val="0"/>
                <w:i w:val="0"/>
                <w:color w:val="64758B"/>
                <w:sz w:val="16"/>
              </w:rPr>
              <w:t>Accept or decline</w:t>
            </w:r>
          </w:p>
        </w:tc>
        <w:tc>
          <w:tcPr>
            <w:tcW w:type="dxa" w:w="1872"/>
            <w:tcMar>
              <w:top w:w="110" w:type="dxa"/>
              <w:start w:w="120" w:type="dxa"/>
              <w:bottom w:w="110" w:type="dxa"/>
              <w:end w:w="120" w:type="dxa"/>
            </w:tcMar>
            <w:shd w:fill="E9F8F4"/>
          </w:tcPr>
          <w:p>
            <w:pPr>
              <w:jc w:val="center"/>
            </w:pPr>
            <w:r>
              <w:rPr>
                <w:rFonts w:ascii="Aptos" w:hAnsi="Aptos"/>
                <w:b/>
                <w:i w:val="0"/>
                <w:color w:val="1468E8"/>
                <w:sz w:val="28"/>
              </w:rPr>
              <w:t>04</w:t>
              <w:br/>
            </w:r>
            <w:r>
              <w:rPr>
                <w:rFonts w:ascii="Aptos" w:hAnsi="Aptos"/>
                <w:b/>
                <w:i w:val="0"/>
                <w:color w:val="102A43"/>
                <w:sz w:val="18"/>
              </w:rPr>
              <w:t>Communicate</w:t>
              <w:br/>
            </w:r>
            <w:r>
              <w:rPr>
                <w:rFonts w:ascii="Aptos" w:hAnsi="Aptos"/>
                <w:b w:val="0"/>
                <w:i w:val="0"/>
                <w:color w:val="64758B"/>
                <w:sz w:val="16"/>
              </w:rPr>
              <w:t>Message with feedback</w:t>
            </w:r>
          </w:p>
        </w:tc>
        <w:tc>
          <w:tcPr>
            <w:tcW w:type="dxa" w:w="1872"/>
            <w:tcMar>
              <w:top w:w="110" w:type="dxa"/>
              <w:start w:w="120" w:type="dxa"/>
              <w:bottom w:w="110" w:type="dxa"/>
              <w:end w:w="120" w:type="dxa"/>
            </w:tcMar>
            <w:shd w:fill="EFF6FF"/>
          </w:tcPr>
          <w:p>
            <w:pPr>
              <w:jc w:val="center"/>
            </w:pPr>
            <w:r>
              <w:rPr>
                <w:rFonts w:ascii="Aptos" w:hAnsi="Aptos"/>
                <w:b/>
                <w:i w:val="0"/>
                <w:color w:val="1468E8"/>
                <w:sz w:val="28"/>
              </w:rPr>
              <w:t>05</w:t>
              <w:br/>
            </w:r>
            <w:r>
              <w:rPr>
                <w:rFonts w:ascii="Aptos" w:hAnsi="Aptos"/>
                <w:b/>
                <w:i w:val="0"/>
                <w:color w:val="102A43"/>
                <w:sz w:val="18"/>
              </w:rPr>
              <w:t>Control</w:t>
              <w:br/>
            </w:r>
            <w:r>
              <w:rPr>
                <w:rFonts w:ascii="Aptos" w:hAnsi="Aptos"/>
                <w:b w:val="0"/>
                <w:i w:val="0"/>
                <w:color w:val="64758B"/>
                <w:sz w:val="16"/>
              </w:rPr>
              <w:t>Manage privacy and data</w:t>
            </w:r>
          </w:p>
        </w:tc>
      </w:tr>
    </w:tbl>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FF6FF"/>
          </w:tcPr>
          <w:p>
            <w:pPr>
              <w:spacing w:after="0"/>
            </w:pPr>
            <w:r>
              <w:rPr>
                <w:rFonts w:ascii="Aptos" w:hAnsi="Aptos"/>
                <w:b/>
                <w:i w:val="0"/>
                <w:color w:val="1468E8"/>
                <w:sz w:val="18"/>
              </w:rPr>
              <w:t xml:space="preserve">INFORMATION ARCHITECTURE  </w:t>
            </w:r>
            <w:r>
              <w:rPr>
                <w:rFonts w:ascii="Aptos" w:hAnsi="Aptos"/>
                <w:b w:val="0"/>
                <w:i w:val="0"/>
                <w:color w:val="172B3A"/>
                <w:sz w:val="20"/>
              </w:rPr>
              <w:t>Chats, Privacy and Settings remain primary. The profile photo at the rail bottom continuously identifies the logged-in account.</w:t>
            </w:r>
          </w:p>
        </w:tc>
      </w:tr>
    </w:tbl>
    <w:p>
      <w:pPr>
        <w:spacing w:after="0"/>
      </w:pPr>
    </w:p>
    <w:p>
      <w:r>
        <w:br w:type="page"/>
      </w:r>
    </w:p>
    <w:p>
      <w:pPr>
        <w:pStyle w:val="Heading1"/>
      </w:pPr>
      <w:r>
        <w:t>3. HCI &amp; Data Ethics Design</w:t>
      </w:r>
    </w:p>
    <w:p>
      <w:pPr>
        <w:pStyle w:val="Heading2"/>
      </w:pPr>
      <w:r>
        <w:t>HCI Principles and Shneiderman’s Golden Rules</w:t>
      </w:r>
    </w:p>
    <w:tbl>
      <w:tblPr>
        <w:tblStyle w:val="TableGrid"/>
        <w:tblW w:type="dxa" w:w="9360"/>
        <w:jc w:val="center"/>
        <w:tblLayout w:type="fixed"/>
        <w:tblLook w:firstColumn="1" w:firstRow="1" w:lastColumn="0" w:lastRow="0" w:noHBand="0" w:noVBand="1" w:val="04A0"/>
        <w:tblInd w:w="120" w:type="dxa"/>
      </w:tblPr>
      <w:tblGrid>
        <w:gridCol w:w="2550"/>
        <w:gridCol w:w="6810"/>
      </w:tblGrid>
      <w:tr>
        <w:trPr>
          <w:tblHeader w:val="true"/>
        </w:trPr>
        <w:tc>
          <w:tcPr>
            <w:tcW w:type="dxa" w:w="2550"/>
            <w:shd w:fill="102A43"/>
            <w:tcMar>
              <w:top w:w="110" w:type="dxa"/>
              <w:start w:w="120" w:type="dxa"/>
              <w:bottom w:w="110" w:type="dxa"/>
              <w:end w:w="120" w:type="dxa"/>
            </w:tcMar>
          </w:tcPr>
          <w:p>
            <w:r>
              <w:rPr>
                <w:rFonts w:ascii="Aptos" w:hAnsi="Aptos"/>
                <w:b/>
                <w:i w:val="0"/>
                <w:color w:val="FFFFFF"/>
                <w:sz w:val="18"/>
              </w:rPr>
              <w:t>Golden Rule</w:t>
            </w:r>
          </w:p>
        </w:tc>
        <w:tc>
          <w:tcPr>
            <w:tcW w:type="dxa" w:w="6810"/>
            <w:shd w:fill="102A43"/>
            <w:tcMar>
              <w:top w:w="110" w:type="dxa"/>
              <w:start w:w="120" w:type="dxa"/>
              <w:bottom w:w="110" w:type="dxa"/>
              <w:end w:w="120" w:type="dxa"/>
            </w:tcMar>
          </w:tcPr>
          <w:p>
            <w:r>
              <w:rPr>
                <w:rFonts w:ascii="Aptos" w:hAnsi="Aptos"/>
                <w:b/>
                <w:i w:val="0"/>
                <w:color w:val="FFFFFF"/>
                <w:sz w:val="18"/>
              </w:rPr>
              <w:t>SecureChat evidence</w:t>
            </w:r>
          </w:p>
        </w:tc>
      </w:tr>
      <w:tr>
        <w:tc>
          <w:tcPr>
            <w:tcW w:type="dxa" w:w="2550"/>
            <w:vAlign w:val="center"/>
            <w:tcMar>
              <w:top w:w="110" w:type="dxa"/>
              <w:start w:w="120" w:type="dxa"/>
              <w:bottom w:w="110" w:type="dxa"/>
              <w:end w:w="120" w:type="dxa"/>
            </w:tcMar>
          </w:tcPr>
          <w:p>
            <w:r>
              <w:rPr>
                <w:rFonts w:ascii="Aptos" w:hAnsi="Aptos"/>
                <w:b/>
                <w:i w:val="0"/>
                <w:color w:val="102A43"/>
                <w:sz w:val="17"/>
              </w:rPr>
              <w:t>Consistency</w:t>
            </w:r>
          </w:p>
        </w:tc>
        <w:tc>
          <w:tcPr>
            <w:tcW w:type="dxa" w:w="6810"/>
            <w:vAlign w:val="center"/>
            <w:tcMar>
              <w:top w:w="110" w:type="dxa"/>
              <w:start w:w="120" w:type="dxa"/>
              <w:bottom w:w="110" w:type="dxa"/>
              <w:end w:w="120" w:type="dxa"/>
            </w:tcMar>
          </w:tcPr>
          <w:p>
            <w:r>
              <w:rPr>
                <w:rFonts w:ascii="Aptos" w:hAnsi="Aptos"/>
                <w:b w:val="0"/>
                <w:i w:val="0"/>
                <w:color w:val="172B3A"/>
                <w:sz w:val="17"/>
              </w:rPr>
              <w:t>Shared navigation, controls, language, spacing and dialog patterns.</w:t>
            </w:r>
          </w:p>
        </w:tc>
      </w:tr>
      <w:tr>
        <w:tc>
          <w:tcPr>
            <w:tcW w:type="dxa" w:w="2550"/>
            <w:vAlign w:val="center"/>
            <w:tcMar>
              <w:top w:w="110" w:type="dxa"/>
              <w:start w:w="120" w:type="dxa"/>
              <w:bottom w:w="110" w:type="dxa"/>
              <w:end w:w="120" w:type="dxa"/>
            </w:tcMar>
          </w:tcPr>
          <w:p>
            <w:r>
              <w:rPr>
                <w:rFonts w:ascii="Aptos" w:hAnsi="Aptos"/>
                <w:b/>
                <w:i w:val="0"/>
                <w:color w:val="102A43"/>
                <w:sz w:val="17"/>
              </w:rPr>
              <w:t>Shortcuts</w:t>
            </w:r>
          </w:p>
        </w:tc>
        <w:tc>
          <w:tcPr>
            <w:tcW w:type="dxa" w:w="6810"/>
            <w:vAlign w:val="center"/>
            <w:tcMar>
              <w:top w:w="110" w:type="dxa"/>
              <w:start w:w="120" w:type="dxa"/>
              <w:bottom w:w="110" w:type="dxa"/>
              <w:end w:w="120" w:type="dxa"/>
            </w:tcMar>
          </w:tcPr>
          <w:p>
            <w:r>
              <w:rPr>
                <w:rFonts w:ascii="Aptos" w:hAnsi="Aptos"/>
                <w:b w:val="0"/>
                <w:i w:val="0"/>
                <w:color w:val="172B3A"/>
                <w:sz w:val="17"/>
              </w:rPr>
              <w:t>Ctrl/Cmd + K focuses search; familiar icons support repeat use.</w:t>
            </w:r>
          </w:p>
        </w:tc>
      </w:tr>
      <w:tr>
        <w:tc>
          <w:tcPr>
            <w:tcW w:type="dxa" w:w="2550"/>
            <w:vAlign w:val="center"/>
            <w:tcMar>
              <w:top w:w="110" w:type="dxa"/>
              <w:start w:w="120" w:type="dxa"/>
              <w:bottom w:w="110" w:type="dxa"/>
              <w:end w:w="120" w:type="dxa"/>
            </w:tcMar>
          </w:tcPr>
          <w:p>
            <w:r>
              <w:rPr>
                <w:rFonts w:ascii="Aptos" w:hAnsi="Aptos"/>
                <w:b/>
                <w:i w:val="0"/>
                <w:color w:val="102A43"/>
                <w:sz w:val="17"/>
              </w:rPr>
              <w:t>Feedback</w:t>
            </w:r>
          </w:p>
        </w:tc>
        <w:tc>
          <w:tcPr>
            <w:tcW w:type="dxa" w:w="6810"/>
            <w:vAlign w:val="center"/>
            <w:tcMar>
              <w:top w:w="110" w:type="dxa"/>
              <w:start w:w="120" w:type="dxa"/>
              <w:bottom w:w="110" w:type="dxa"/>
              <w:end w:w="120" w:type="dxa"/>
            </w:tcMar>
          </w:tcPr>
          <w:p>
            <w:r>
              <w:rPr>
                <w:rFonts w:ascii="Aptos" w:hAnsi="Aptos"/>
                <w:b w:val="0"/>
                <w:i w:val="0"/>
                <w:color w:val="172B3A"/>
                <w:sz w:val="17"/>
              </w:rPr>
              <w:t>Skeletons, connection state, receipts, success notices and clear errors.</w:t>
            </w:r>
          </w:p>
        </w:tc>
      </w:tr>
      <w:tr>
        <w:tc>
          <w:tcPr>
            <w:tcW w:type="dxa" w:w="2550"/>
            <w:vAlign w:val="center"/>
            <w:tcMar>
              <w:top w:w="110" w:type="dxa"/>
              <w:start w:w="120" w:type="dxa"/>
              <w:bottom w:w="110" w:type="dxa"/>
              <w:end w:w="120" w:type="dxa"/>
            </w:tcMar>
          </w:tcPr>
          <w:p>
            <w:r>
              <w:rPr>
                <w:rFonts w:ascii="Aptos" w:hAnsi="Aptos"/>
                <w:b/>
                <w:i w:val="0"/>
                <w:color w:val="102A43"/>
                <w:sz w:val="17"/>
              </w:rPr>
              <w:t>Closure</w:t>
            </w:r>
          </w:p>
        </w:tc>
        <w:tc>
          <w:tcPr>
            <w:tcW w:type="dxa" w:w="6810"/>
            <w:vAlign w:val="center"/>
            <w:tcMar>
              <w:top w:w="110" w:type="dxa"/>
              <w:start w:w="120" w:type="dxa"/>
              <w:bottom w:w="110" w:type="dxa"/>
              <w:end w:w="120" w:type="dxa"/>
            </w:tcMar>
          </w:tcPr>
          <w:p>
            <w:r>
              <w:rPr>
                <w:rFonts w:ascii="Aptos" w:hAnsi="Aptos"/>
                <w:b w:val="0"/>
                <w:i w:val="0"/>
                <w:color w:val="172B3A"/>
                <w:sz w:val="17"/>
              </w:rPr>
              <w:t>Requests, saves, uploads, logout and deletion end with visible outcomes.</w:t>
            </w:r>
          </w:p>
        </w:tc>
      </w:tr>
      <w:tr>
        <w:tc>
          <w:tcPr>
            <w:tcW w:type="dxa" w:w="2550"/>
            <w:vAlign w:val="center"/>
            <w:tcMar>
              <w:top w:w="110" w:type="dxa"/>
              <w:start w:w="120" w:type="dxa"/>
              <w:bottom w:w="110" w:type="dxa"/>
              <w:end w:w="120" w:type="dxa"/>
            </w:tcMar>
          </w:tcPr>
          <w:p>
            <w:r>
              <w:rPr>
                <w:rFonts w:ascii="Aptos" w:hAnsi="Aptos"/>
                <w:b/>
                <w:i w:val="0"/>
                <w:color w:val="102A43"/>
                <w:sz w:val="17"/>
              </w:rPr>
              <w:t>Error prevention</w:t>
            </w:r>
          </w:p>
        </w:tc>
        <w:tc>
          <w:tcPr>
            <w:tcW w:type="dxa" w:w="6810"/>
            <w:vAlign w:val="center"/>
            <w:tcMar>
              <w:top w:w="110" w:type="dxa"/>
              <w:start w:w="120" w:type="dxa"/>
              <w:bottom w:w="110" w:type="dxa"/>
              <w:end w:w="120" w:type="dxa"/>
            </w:tcMar>
          </w:tcPr>
          <w:p>
            <w:r>
              <w:rPr>
                <w:rFonts w:ascii="Aptos" w:hAnsi="Aptos"/>
                <w:b w:val="0"/>
                <w:i w:val="0"/>
                <w:color w:val="172B3A"/>
                <w:sz w:val="17"/>
              </w:rPr>
              <w:t>Validation, disabled invalid actions and confirmations before destructive tasks.</w:t>
            </w:r>
          </w:p>
        </w:tc>
      </w:tr>
      <w:tr>
        <w:tc>
          <w:tcPr>
            <w:tcW w:type="dxa" w:w="2550"/>
            <w:vAlign w:val="center"/>
            <w:tcMar>
              <w:top w:w="110" w:type="dxa"/>
              <w:start w:w="120" w:type="dxa"/>
              <w:bottom w:w="110" w:type="dxa"/>
              <w:end w:w="120" w:type="dxa"/>
            </w:tcMar>
          </w:tcPr>
          <w:p>
            <w:r>
              <w:rPr>
                <w:rFonts w:ascii="Aptos" w:hAnsi="Aptos"/>
                <w:b/>
                <w:i w:val="0"/>
                <w:color w:val="102A43"/>
                <w:sz w:val="17"/>
              </w:rPr>
              <w:t>Easy reversal</w:t>
            </w:r>
          </w:p>
        </w:tc>
        <w:tc>
          <w:tcPr>
            <w:tcW w:type="dxa" w:w="6810"/>
            <w:vAlign w:val="center"/>
            <w:tcMar>
              <w:top w:w="110" w:type="dxa"/>
              <w:start w:w="120" w:type="dxa"/>
              <w:bottom w:w="110" w:type="dxa"/>
              <w:end w:w="120" w:type="dxa"/>
            </w:tcMar>
          </w:tcPr>
          <w:p>
            <w:r>
              <w:rPr>
                <w:rFonts w:ascii="Aptos" w:hAnsi="Aptos"/>
                <w:b w:val="0"/>
                <w:i w:val="0"/>
                <w:color w:val="172B3A"/>
                <w:sz w:val="17"/>
              </w:rPr>
              <w:t>Cancel requests, edit/delete messages, remove photos and change preferences.</w:t>
            </w:r>
          </w:p>
        </w:tc>
      </w:tr>
      <w:tr>
        <w:tc>
          <w:tcPr>
            <w:tcW w:type="dxa" w:w="2550"/>
            <w:vAlign w:val="center"/>
            <w:tcMar>
              <w:top w:w="110" w:type="dxa"/>
              <w:start w:w="120" w:type="dxa"/>
              <w:bottom w:w="110" w:type="dxa"/>
              <w:end w:w="120" w:type="dxa"/>
            </w:tcMar>
          </w:tcPr>
          <w:p>
            <w:r>
              <w:rPr>
                <w:rFonts w:ascii="Aptos" w:hAnsi="Aptos"/>
                <w:b/>
                <w:i w:val="0"/>
                <w:color w:val="102A43"/>
                <w:sz w:val="17"/>
              </w:rPr>
              <w:t>User control</w:t>
            </w:r>
          </w:p>
        </w:tc>
        <w:tc>
          <w:tcPr>
            <w:tcW w:type="dxa" w:w="6810"/>
            <w:vAlign w:val="center"/>
            <w:tcMar>
              <w:top w:w="110" w:type="dxa"/>
              <w:start w:w="120" w:type="dxa"/>
              <w:bottom w:w="110" w:type="dxa"/>
              <w:end w:w="120" w:type="dxa"/>
            </w:tcMar>
          </w:tcPr>
          <w:p>
            <w:r>
              <w:rPr>
                <w:rFonts w:ascii="Aptos" w:hAnsi="Aptos"/>
                <w:b w:val="0"/>
                <w:i w:val="0"/>
                <w:color w:val="172B3A"/>
                <w:sz w:val="17"/>
              </w:rPr>
              <w:t>Users initiate permissions and choose privacy, retention and account actions.</w:t>
            </w:r>
          </w:p>
        </w:tc>
      </w:tr>
      <w:tr>
        <w:tc>
          <w:tcPr>
            <w:tcW w:type="dxa" w:w="2550"/>
            <w:vAlign w:val="center"/>
            <w:tcMar>
              <w:top w:w="110" w:type="dxa"/>
              <w:start w:w="120" w:type="dxa"/>
              <w:bottom w:w="110" w:type="dxa"/>
              <w:end w:w="120" w:type="dxa"/>
            </w:tcMar>
          </w:tcPr>
          <w:p>
            <w:r>
              <w:rPr>
                <w:rFonts w:ascii="Aptos" w:hAnsi="Aptos"/>
                <w:b/>
                <w:i w:val="0"/>
                <w:color w:val="102A43"/>
                <w:sz w:val="17"/>
              </w:rPr>
              <w:t>Reduce memory load</w:t>
            </w:r>
          </w:p>
        </w:tc>
        <w:tc>
          <w:tcPr>
            <w:tcW w:type="dxa" w:w="6810"/>
            <w:vAlign w:val="center"/>
            <w:tcMar>
              <w:top w:w="110" w:type="dxa"/>
              <w:start w:w="120" w:type="dxa"/>
              <w:bottom w:w="110" w:type="dxa"/>
              <w:end w:w="120" w:type="dxa"/>
            </w:tcMar>
          </w:tcPr>
          <w:p>
            <w:r>
              <w:rPr>
                <w:rFonts w:ascii="Aptos" w:hAnsi="Aptos"/>
                <w:b w:val="0"/>
                <w:i w:val="0"/>
                <w:color w:val="172B3A"/>
                <w:sz w:val="17"/>
              </w:rPr>
              <w:t>Visible labels, contextual help, identity cues and progressive disclosure.</w:t>
            </w:r>
          </w:p>
        </w:tc>
      </w:tr>
    </w:tbl>
    <w:p>
      <w:pPr>
        <w:pStyle w:val="Heading2"/>
      </w:pPr>
      <w:r>
        <w:t>Privacy by Design</w:t>
      </w:r>
    </w:p>
    <w:p>
      <w:pPr>
        <w:spacing w:after="120" w:line="276" w:lineRule="auto"/>
      </w:pPr>
      <w:r>
        <w:rPr>
          <w:rFonts w:ascii="Aptos" w:hAnsi="Aptos"/>
          <w:b w:val="0"/>
          <w:i w:val="0"/>
          <w:color w:val="172B3A"/>
          <w:sz w:val="20"/>
        </w:rPr>
        <w:t>Privacy defaults and explanations are built into the task flow. Email is not searchable; username results are limited; profile visibility is controlled; new contacts cannot observe presence, typing or read activity before consent.</w:t>
      </w:r>
    </w:p>
    <w:p>
      <w:pPr>
        <w:pStyle w:val="Heading2"/>
      </w:pPr>
      <w:r>
        <w:t>Consent &amp; Transparency</w:t>
      </w:r>
    </w:p>
    <w:p>
      <w:pPr>
        <w:spacing w:after="120" w:line="276" w:lineRule="auto"/>
      </w:pPr>
      <w:r>
        <w:rPr>
          <w:rFonts w:ascii="Aptos" w:hAnsi="Aptos"/>
          <w:b w:val="0"/>
          <w:i w:val="0"/>
          <w:color w:val="172B3A"/>
          <w:sz w:val="20"/>
        </w:rPr>
        <w:t>The request introduction supports an informed decision. Security screens distinguish protected content from service-visible metadata and clearly state the academic prototype’s limitations.</w:t>
      </w:r>
    </w:p>
    <w:p>
      <w:pPr>
        <w:pStyle w:val="Heading2"/>
      </w:pPr>
      <w:r>
        <w:t>User Control</w:t>
      </w:r>
    </w:p>
    <w:p>
      <w:pPr>
        <w:spacing w:after="120" w:line="276" w:lineRule="auto"/>
      </w:pPr>
      <w:r>
        <w:rPr>
          <w:rFonts w:ascii="Aptos" w:hAnsi="Aptos"/>
          <w:b w:val="0"/>
          <w:i w:val="0"/>
          <w:color w:val="172B3A"/>
          <w:sz w:val="20"/>
        </w:rPr>
        <w:t>Users can manage discovery, profile photo visibility, online status, receipts, typing, notification detail, disappearing messages, local chat clearing, data export and account deletion.</w:t>
      </w:r>
    </w:p>
    <w:p>
      <w:pPr>
        <w:pStyle w:val="Heading2"/>
      </w:pPr>
      <w:r>
        <w:t>Accessibility</w:t>
      </w:r>
    </w:p>
    <w:p>
      <w:pPr>
        <w:spacing w:after="120" w:line="276" w:lineRule="auto"/>
      </w:pPr>
      <w:r>
        <w:rPr>
          <w:rFonts w:ascii="Aptos" w:hAnsi="Aptos"/>
          <w:b w:val="0"/>
          <w:i w:val="0"/>
          <w:color w:val="172B3A"/>
          <w:sz w:val="20"/>
        </w:rPr>
        <w:t>The interface supports keyboard focus, readable labels, contrast adjustment, scalable text, reduced motion, stable scrolling and status announcements. Short transitions aid orientation but never become essential to task completion.</w:t>
      </w:r>
    </w:p>
    <w:p>
      <w:r>
        <w:br w:type="page"/>
      </w:r>
    </w:p>
    <w:p>
      <w:pPr>
        <w:pStyle w:val="Heading1"/>
      </w:pPr>
      <w:r>
        <w:t>4. System Implementation &amp; Outputs</w:t>
      </w:r>
    </w:p>
    <w:p>
      <w:pPr>
        <w:spacing w:after="120" w:line="276" w:lineRule="auto"/>
      </w:pPr>
      <w:r>
        <w:rPr>
          <w:rFonts w:ascii="Aptos" w:hAnsi="Aptos"/>
          <w:b w:val="0"/>
          <w:i w:val="0"/>
          <w:color w:val="172B3A"/>
          <w:sz w:val="20"/>
        </w:rPr>
        <w:t>The following outputs are included as interaction evidence. Blue frames identify the evaluated interface state; captions explain the HCI and ethical purpose rather than implementation code.</w:t>
      </w:r>
    </w:p>
    <w:p>
      <w:pPr>
        <w:pStyle w:val="Heading2"/>
      </w:pPr>
      <w:r>
        <w:t>4.1 Main Chat and End-to-End Encryption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DEBFF"/>
          </w:tcPr>
          <w:p>
            <w:pPr>
              <w:jc w:val="center"/>
            </w:pPr>
            <w:r>
              <w:drawing>
                <wp:inline xmlns:a="http://schemas.openxmlformats.org/drawingml/2006/main" xmlns:pic="http://schemas.openxmlformats.org/drawingml/2006/picture">
                  <wp:extent cx="5623560" cy="2673279"/>
                  <wp:docPr id="2" name="Picture 2" descr="Figure 1 — Main chat and E2EE state" title="Figure 1 — Main chat and E2EE state"/>
                  <wp:cNvGraphicFramePr>
                    <a:graphicFrameLocks noChangeAspect="1"/>
                  </wp:cNvGraphicFramePr>
                  <a:graphic>
                    <a:graphicData uri="http://schemas.openxmlformats.org/drawingml/2006/picture">
                      <pic:pic>
                        <pic:nvPicPr>
                          <pic:cNvPr id="0" name="codex-clipboard-86d591ab-2160-4154-ac40-b179057746c9.png"/>
                          <pic:cNvPicPr/>
                        </pic:nvPicPr>
                        <pic:blipFill>
                          <a:blip r:embed="rId12"/>
                          <a:stretch>
                            <a:fillRect/>
                          </a:stretch>
                        </pic:blipFill>
                        <pic:spPr>
                          <a:xfrm>
                            <a:off x="0" y="0"/>
                            <a:ext cx="5623560" cy="2673279"/>
                          </a:xfrm>
                          <a:prstGeom prst="rect"/>
                        </pic:spPr>
                      </pic:pic>
                    </a:graphicData>
                  </a:graphic>
                </wp:inline>
              </w:drawing>
            </w:r>
          </w:p>
        </w:tc>
      </w:tr>
    </w:tbl>
    <w:p>
      <w:pPr>
        <w:spacing w:before="80" w:after="180"/>
        <w:jc w:val="center"/>
      </w:pPr>
      <w:r>
        <w:rPr>
          <w:rFonts w:ascii="Aptos" w:hAnsi="Aptos"/>
          <w:b/>
          <w:i w:val="0"/>
          <w:color w:val="1468E8"/>
          <w:sz w:val="18"/>
        </w:rPr>
        <w:t xml:space="preserve">Figure 1 — Main chat and E2EE state. </w:t>
      </w:r>
      <w:r>
        <w:rPr>
          <w:rFonts w:ascii="Aptos" w:hAnsi="Aptos"/>
          <w:b w:val="0"/>
          <w:i w:val="0"/>
          <w:color w:val="64758B"/>
          <w:sz w:val="18"/>
        </w:rPr>
        <w:t>The fixed header communicates participant identity and encryption status, while the fixed composer preserves action continuity. Only message history scrolls, reducing disorientation and supporting consistency.</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9F8F4"/>
          </w:tcPr>
          <w:p>
            <w:pPr>
              <w:spacing w:after="0"/>
            </w:pPr>
            <w:r>
              <w:rPr>
                <w:rFonts w:ascii="Aptos" w:hAnsi="Aptos"/>
                <w:b/>
                <w:i w:val="0"/>
                <w:color w:val="1468E8"/>
                <w:sz w:val="18"/>
              </w:rPr>
              <w:t xml:space="preserve">HCI FOCUS  </w:t>
            </w:r>
            <w:r>
              <w:rPr>
                <w:rFonts w:ascii="Aptos" w:hAnsi="Aptos"/>
                <w:b w:val="0"/>
                <w:i w:val="0"/>
                <w:color w:val="172B3A"/>
                <w:sz w:val="20"/>
              </w:rPr>
              <w:t>Visibility of system status • consistent layout • low memory demand • user confidence</w:t>
            </w:r>
          </w:p>
        </w:tc>
      </w:tr>
    </w:tbl>
    <w:p>
      <w:pPr>
        <w:spacing w:after="0"/>
      </w:pPr>
    </w:p>
    <w:p>
      <w:r>
        <w:br w:type="page"/>
      </w:r>
    </w:p>
    <w:p>
      <w:pPr>
        <w:pStyle w:val="Heading2"/>
      </w:pPr>
      <w:r>
        <w:t>4.2 Search and Consent-First Chat Request</w:t>
      </w:r>
    </w:p>
    <w:tbl>
      <w:tblPr>
        <w:tblW w:type="dxa" w:w="9360"/>
        <w:tblLayout w:type="fixed"/>
        <w:tblLook w:firstColumn="1" w:firstRow="1" w:lastColumn="0" w:lastRow="0" w:noHBand="0" w:noVBand="1" w:val="04A0"/>
        <w:jc w:val="center"/>
        <w:tblInd w:w="120" w:type="dxa"/>
      </w:tblPr>
      <w:tblGrid>
        <w:gridCol w:w="5700"/>
        <w:gridCol w:w="3660"/>
      </w:tblGrid>
      <w:tr>
        <w:tc>
          <w:tcPr>
            <w:tcW w:type="dxa" w:w="5700"/>
            <w:tcMar>
              <w:top w:w="70" w:type="dxa"/>
              <w:start w:w="120" w:type="dxa"/>
              <w:bottom w:w="70" w:type="dxa"/>
              <w:end w:w="120" w:type="dxa"/>
            </w:tcMar>
            <w:shd w:fill="DDEBFF"/>
          </w:tcPr>
          <w:p>
            <w:pPr>
              <w:jc w:val="center"/>
            </w:pPr>
            <w:r>
              <w:drawing>
                <wp:inline xmlns:a="http://schemas.openxmlformats.org/drawingml/2006/main" xmlns:pic="http://schemas.openxmlformats.org/drawingml/2006/picture">
                  <wp:extent cx="3246120" cy="1630680"/>
                  <wp:docPr id="3" name="Picture 3" descr="Figure 2 — Progressive discovery and request composition — search" title="Figure 2 — Progressive discovery and request composition — search"/>
                  <wp:cNvGraphicFramePr>
                    <a:graphicFrameLocks noChangeAspect="1"/>
                  </wp:cNvGraphicFramePr>
                  <a:graphic>
                    <a:graphicData uri="http://schemas.openxmlformats.org/drawingml/2006/picture">
                      <pic:pic>
                        <pic:nvPicPr>
                          <pic:cNvPr id="0" name="codex-clipboard-6b4bbe65-aa97-4152-816b-28a9f3ba9fc4.png"/>
                          <pic:cNvPicPr/>
                        </pic:nvPicPr>
                        <pic:blipFill>
                          <a:blip r:embed="rId13"/>
                          <a:stretch>
                            <a:fillRect/>
                          </a:stretch>
                        </pic:blipFill>
                        <pic:spPr>
                          <a:xfrm>
                            <a:off x="0" y="0"/>
                            <a:ext cx="3246120" cy="1630680"/>
                          </a:xfrm>
                          <a:prstGeom prst="rect"/>
                        </pic:spPr>
                      </pic:pic>
                    </a:graphicData>
                  </a:graphic>
                </wp:inline>
              </w:drawing>
            </w:r>
          </w:p>
        </w:tc>
        <w:tc>
          <w:tcPr>
            <w:tcW w:type="dxa" w:w="3660"/>
            <w:tcMar>
              <w:top w:w="70" w:type="dxa"/>
              <w:start w:w="120" w:type="dxa"/>
              <w:bottom w:w="70" w:type="dxa"/>
              <w:end w:w="120" w:type="dxa"/>
            </w:tcMar>
            <w:shd w:fill="DDEBFF"/>
          </w:tcPr>
          <w:p>
            <w:pPr>
              <w:jc w:val="center"/>
            </w:pPr>
            <w:r>
              <w:drawing>
                <wp:inline xmlns:a="http://schemas.openxmlformats.org/drawingml/2006/main" xmlns:pic="http://schemas.openxmlformats.org/drawingml/2006/picture">
                  <wp:extent cx="2057400" cy="2238935"/>
                  <wp:docPr id="4" name="Picture 4" descr="Figure 2 — Progressive discovery and request composition — request" title="Figure 2 — Progressive discovery and request composition — request"/>
                  <wp:cNvGraphicFramePr>
                    <a:graphicFrameLocks noChangeAspect="1"/>
                  </wp:cNvGraphicFramePr>
                  <a:graphic>
                    <a:graphicData uri="http://schemas.openxmlformats.org/drawingml/2006/picture">
                      <pic:pic>
                        <pic:nvPicPr>
                          <pic:cNvPr id="0" name="codex-clipboard-01fd9261-1b91-4474-a213-cfa652bd9c6a.png"/>
                          <pic:cNvPicPr/>
                        </pic:nvPicPr>
                        <pic:blipFill>
                          <a:blip r:embed="rId14"/>
                          <a:stretch>
                            <a:fillRect/>
                          </a:stretch>
                        </pic:blipFill>
                        <pic:spPr>
                          <a:xfrm>
                            <a:off x="0" y="0"/>
                            <a:ext cx="2057400" cy="2238935"/>
                          </a:xfrm>
                          <a:prstGeom prst="rect"/>
                        </pic:spPr>
                      </pic:pic>
                    </a:graphicData>
                  </a:graphic>
                </wp:inline>
              </w:drawing>
            </w:r>
          </w:p>
        </w:tc>
      </w:tr>
    </w:tbl>
    <w:p>
      <w:pPr>
        <w:spacing w:before="80" w:after="180"/>
        <w:jc w:val="center"/>
      </w:pPr>
      <w:r>
        <w:rPr>
          <w:rFonts w:ascii="Aptos" w:hAnsi="Aptos"/>
          <w:b/>
          <w:i w:val="0"/>
          <w:color w:val="1468E8"/>
          <w:sz w:val="18"/>
        </w:rPr>
        <w:t xml:space="preserve">Figure 2 — Progressive discovery and request composition. </w:t>
      </w:r>
      <w:r>
        <w:rPr>
          <w:rFonts w:ascii="Aptos" w:hAnsi="Aptos"/>
          <w:b w:val="0"/>
          <w:i w:val="0"/>
          <w:color w:val="64758B"/>
          <w:sz w:val="18"/>
        </w:rPr>
        <w:t>Limited suggestions appear after two characters. The request dialog explains privacy consequences before sending, keeps the introduction editable, and clearly separates Cancel from the primary action.</w:t>
      </w:r>
    </w:p>
    <w:p>
      <w:pPr>
        <w:pStyle w:val="Heading2"/>
      </w:pPr>
      <w:r>
        <w:t>Ethical rationale</w:t>
      </w:r>
    </w:p>
    <w:p>
      <w:pPr>
        <w:spacing w:after="120" w:line="276" w:lineRule="auto"/>
      </w:pPr>
      <w:r>
        <w:rPr>
          <w:rFonts w:ascii="Aptos" w:hAnsi="Aptos"/>
          <w:b w:val="0"/>
          <w:i w:val="0"/>
          <w:color w:val="172B3A"/>
          <w:sz w:val="20"/>
        </w:rPr>
        <w:t>The design balances discoverability with minimisation: it does not search email, returns a limited set, and respects incognito settings. The recipient controls whether communication begins.</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FF6FF"/>
          </w:tcPr>
          <w:p>
            <w:pPr>
              <w:spacing w:after="0"/>
            </w:pPr>
            <w:r>
              <w:rPr>
                <w:rFonts w:ascii="Aptos" w:hAnsi="Aptos"/>
                <w:b/>
                <w:i w:val="0"/>
                <w:color w:val="1468E8"/>
                <w:sz w:val="18"/>
              </w:rPr>
              <w:t xml:space="preserve">HCI FOCUS  </w:t>
            </w:r>
            <w:r>
              <w:rPr>
                <w:rFonts w:ascii="Aptos" w:hAnsi="Aptos"/>
                <w:b w:val="0"/>
                <w:i w:val="0"/>
                <w:color w:val="172B3A"/>
                <w:sz w:val="20"/>
              </w:rPr>
              <w:t>Progressive disclosure • error prevention • meaningful consent • informative feedback</w:t>
            </w:r>
          </w:p>
        </w:tc>
      </w:tr>
    </w:tbl>
    <w:p>
      <w:pPr>
        <w:spacing w:after="0"/>
      </w:pPr>
    </w:p>
    <w:p>
      <w:r>
        <w:br w:type="page"/>
      </w:r>
    </w:p>
    <w:p>
      <w:pPr>
        <w:pStyle w:val="Heading2"/>
      </w:pPr>
      <w:r>
        <w:t>4.3 Privacy Settings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DEBFF"/>
          </w:tcPr>
          <w:p>
            <w:pPr>
              <w:jc w:val="center"/>
            </w:pPr>
            <w:r>
              <w:drawing>
                <wp:inline xmlns:a="http://schemas.openxmlformats.org/drawingml/2006/main" xmlns:pic="http://schemas.openxmlformats.org/drawingml/2006/picture">
                  <wp:extent cx="5623560" cy="2638105"/>
                  <wp:docPr id="5" name="Picture 5" descr="Figure 3 — Privacy control centre" title="Figure 3 — Privacy control centre"/>
                  <wp:cNvGraphicFramePr>
                    <a:graphicFrameLocks noChangeAspect="1"/>
                  </wp:cNvGraphicFramePr>
                  <a:graphic>
                    <a:graphicData uri="http://schemas.openxmlformats.org/drawingml/2006/picture">
                      <pic:pic>
                        <pic:nvPicPr>
                          <pic:cNvPr id="0" name="codex-clipboard-c11abc61-1f68-4325-aba2-aea0bf909340.png"/>
                          <pic:cNvPicPr/>
                        </pic:nvPicPr>
                        <pic:blipFill>
                          <a:blip r:embed="rId15"/>
                          <a:stretch>
                            <a:fillRect/>
                          </a:stretch>
                        </pic:blipFill>
                        <pic:spPr>
                          <a:xfrm>
                            <a:off x="0" y="0"/>
                            <a:ext cx="5623560" cy="2638105"/>
                          </a:xfrm>
                          <a:prstGeom prst="rect"/>
                        </pic:spPr>
                      </pic:pic>
                    </a:graphicData>
                  </a:graphic>
                </wp:inline>
              </w:drawing>
            </w:r>
          </w:p>
        </w:tc>
      </w:tr>
    </w:tbl>
    <w:p>
      <w:pPr>
        <w:spacing w:before="80" w:after="180"/>
        <w:jc w:val="center"/>
      </w:pPr>
      <w:r>
        <w:rPr>
          <w:rFonts w:ascii="Aptos" w:hAnsi="Aptos"/>
          <w:b/>
          <w:i w:val="0"/>
          <w:color w:val="1468E8"/>
          <w:sz w:val="18"/>
        </w:rPr>
        <w:t xml:space="preserve">Figure 3 — Privacy control centre. </w:t>
      </w:r>
      <w:r>
        <w:rPr>
          <w:rFonts w:ascii="Aptos" w:hAnsi="Aptos"/>
          <w:b w:val="0"/>
          <w:i w:val="0"/>
          <w:color w:val="64758B"/>
          <w:sz w:val="18"/>
        </w:rPr>
        <w:t>Each setting describes its consequence before change. Related identity controls are grouped together, and the mutual-consent rule explains that relationship signals depend on both participants’ choices.</w:t>
      </w:r>
    </w:p>
    <w:p>
      <w:pPr>
        <w:pStyle w:val="Heading2"/>
      </w:pPr>
      <w:r>
        <w:t>Why this screen matters</w:t>
      </w:r>
    </w:p>
    <w:p>
      <w:pPr>
        <w:spacing w:after="120" w:line="276" w:lineRule="auto"/>
      </w:pPr>
      <w:r>
        <w:rPr>
          <w:rFonts w:ascii="Aptos" w:hAnsi="Aptos"/>
          <w:b w:val="0"/>
          <w:i w:val="0"/>
          <w:color w:val="172B3A"/>
          <w:sz w:val="20"/>
        </w:rPr>
        <w:t>The screen turns abstract privacy into understandable decisions. Labels use user language, defaults remain visible, and the current discovery state provides immediate closure.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9F8F4"/>
          </w:tcPr>
          <w:p>
            <w:pPr>
              <w:spacing w:after="0"/>
            </w:pPr>
            <w:r>
              <w:rPr>
                <w:rFonts w:ascii="Aptos" w:hAnsi="Aptos"/>
                <w:b/>
                <w:i w:val="0"/>
                <w:color w:val="1468E8"/>
                <w:sz w:val="18"/>
              </w:rPr>
              <w:t xml:space="preserve">HCI FOCUS  </w:t>
            </w:r>
            <w:r>
              <w:rPr>
                <w:rFonts w:ascii="Aptos" w:hAnsi="Aptos"/>
                <w:b w:val="0"/>
                <w:i w:val="0"/>
                <w:color w:val="172B3A"/>
                <w:sz w:val="20"/>
              </w:rPr>
              <w:t>Recognition over recall • clear mapping • transparency • internal locus of control</w:t>
            </w:r>
          </w:p>
        </w:tc>
      </w:tr>
    </w:tbl>
    <w:p>
      <w:pPr>
        <w:spacing w:after="0"/>
      </w:pPr>
    </w:p>
    <w:p>
      <w:r>
        <w:br w:type="page"/>
      </w:r>
    </w:p>
    <w:p>
      <w:pPr>
        <w:pStyle w:val="Heading2"/>
      </w:pPr>
      <w:r>
        <w:t>4.4 Group Consent and Encrypted Attachments</w:t>
      </w:r>
    </w:p>
    <w:tbl>
      <w:tblPr>
        <w:tblW w:type="dxa" w:w="9360"/>
        <w:tblLayout w:type="fixed"/>
        <w:tblLook w:firstColumn="1" w:firstRow="1" w:lastColumn="0" w:lastRow="0" w:noHBand="0" w:noVBand="1" w:val="04A0"/>
        <w:jc w:val="center"/>
        <w:tblInd w:w="120" w:type="dxa"/>
      </w:tblPr>
      <w:tblGrid>
        <w:gridCol w:w="5700"/>
        <w:gridCol w:w="3660"/>
      </w:tblGrid>
      <w:tr>
        <w:tc>
          <w:tcPr>
            <w:tcW w:type="dxa" w:w="5700"/>
            <w:tcMar>
              <w:top w:w="70" w:type="dxa"/>
              <w:start w:w="120" w:type="dxa"/>
              <w:bottom w:w="70" w:type="dxa"/>
              <w:end w:w="120" w:type="dxa"/>
            </w:tcMar>
            <w:shd w:fill="DDEBFF"/>
          </w:tcPr>
          <w:p>
            <w:pPr>
              <w:jc w:val="center"/>
            </w:pPr>
            <w:r>
              <w:drawing>
                <wp:inline xmlns:a="http://schemas.openxmlformats.org/drawingml/2006/main" xmlns:pic="http://schemas.openxmlformats.org/drawingml/2006/picture">
                  <wp:extent cx="3200400" cy="1514227"/>
                  <wp:docPr id="6" name="Picture 6" descr="Figure 4 — Protected media and consent-aware groups — search" title="Figure 4 — Protected media and consent-aware groups — search"/>
                  <wp:cNvGraphicFramePr>
                    <a:graphicFrameLocks noChangeAspect="1"/>
                  </wp:cNvGraphicFramePr>
                  <a:graphic>
                    <a:graphicData uri="http://schemas.openxmlformats.org/drawingml/2006/picture">
                      <pic:pic>
                        <pic:nvPicPr>
                          <pic:cNvPr id="0" name="codex-clipboard-1d64e3b5-d24b-4244-bfb2-f565fdf959d0.png"/>
                          <pic:cNvPicPr/>
                        </pic:nvPicPr>
                        <pic:blipFill>
                          <a:blip r:embed="rId16"/>
                          <a:stretch>
                            <a:fillRect/>
                          </a:stretch>
                        </pic:blipFill>
                        <pic:spPr>
                          <a:xfrm>
                            <a:off x="0" y="0"/>
                            <a:ext cx="3200400" cy="1514227"/>
                          </a:xfrm>
                          <a:prstGeom prst="rect"/>
                        </pic:spPr>
                      </pic:pic>
                    </a:graphicData>
                  </a:graphic>
                </wp:inline>
              </w:drawing>
            </w:r>
          </w:p>
        </w:tc>
        <w:tc>
          <w:tcPr>
            <w:tcW w:type="dxa" w:w="3660"/>
            <w:tcMar>
              <w:top w:w="70" w:type="dxa"/>
              <w:start w:w="120" w:type="dxa"/>
              <w:bottom w:w="70" w:type="dxa"/>
              <w:end w:w="120" w:type="dxa"/>
            </w:tcMar>
            <w:shd w:fill="DDEBFF"/>
          </w:tcPr>
          <w:p>
            <w:pPr>
              <w:jc w:val="center"/>
            </w:pPr>
            <w:r>
              <w:drawing>
                <wp:inline xmlns:a="http://schemas.openxmlformats.org/drawingml/2006/main" xmlns:pic="http://schemas.openxmlformats.org/drawingml/2006/picture">
                  <wp:extent cx="2103120" cy="2209223"/>
                  <wp:docPr id="7" name="Picture 7" descr="Figure 4 — Protected media and consent-aware groups — request" title="Figure 4 — Protected media and consent-aware groups — request"/>
                  <wp:cNvGraphicFramePr>
                    <a:graphicFrameLocks noChangeAspect="1"/>
                  </wp:cNvGraphicFramePr>
                  <a:graphic>
                    <a:graphicData uri="http://schemas.openxmlformats.org/drawingml/2006/picture">
                      <pic:pic>
                        <pic:nvPicPr>
                          <pic:cNvPr id="0" name="codex-clipboard-82eb16ac-ab12-45d4-8625-cafa680beac0.png"/>
                          <pic:cNvPicPr/>
                        </pic:nvPicPr>
                        <pic:blipFill>
                          <a:blip r:embed="rId17"/>
                          <a:stretch>
                            <a:fillRect/>
                          </a:stretch>
                        </pic:blipFill>
                        <pic:spPr>
                          <a:xfrm>
                            <a:off x="0" y="0"/>
                            <a:ext cx="2103120" cy="2209223"/>
                          </a:xfrm>
                          <a:prstGeom prst="rect"/>
                        </pic:spPr>
                      </pic:pic>
                    </a:graphicData>
                  </a:graphic>
                </wp:inline>
              </w:drawing>
            </w:r>
          </w:p>
        </w:tc>
      </w:tr>
    </w:tbl>
    <w:p>
      <w:pPr>
        <w:spacing w:before="80" w:after="180"/>
        <w:jc w:val="center"/>
      </w:pPr>
      <w:r>
        <w:rPr>
          <w:rFonts w:ascii="Aptos" w:hAnsi="Aptos"/>
          <w:b/>
          <w:i w:val="0"/>
          <w:color w:val="1468E8"/>
          <w:sz w:val="18"/>
        </w:rPr>
        <w:t xml:space="preserve">Figure 4 — Protected media and consent-aware groups. </w:t>
      </w:r>
      <w:r>
        <w:rPr>
          <w:rFonts w:ascii="Aptos" w:hAnsi="Aptos"/>
          <w:b w:val="0"/>
          <w:i w:val="0"/>
          <w:color w:val="64758B"/>
          <w:sz w:val="18"/>
        </w:rPr>
        <w:t>The chat shows encrypted file exchanges with clear download actions. Group creation restricts invitations to accepted connections and explains that invitees receive no content or activity until acceptance.</w:t>
      </w:r>
    </w:p>
    <w:p>
      <w:pPr>
        <w:pStyle w:val="Heading2"/>
      </w:pPr>
      <w:r>
        <w:t>Interaction outcome</w:t>
      </w:r>
    </w:p>
    <w:p>
      <w:pPr>
        <w:spacing w:after="120" w:line="276" w:lineRule="auto"/>
      </w:pPr>
      <w:r>
        <w:rPr>
          <w:rFonts w:ascii="Aptos" w:hAnsi="Aptos"/>
          <w:b w:val="0"/>
          <w:i w:val="0"/>
          <w:color w:val="172B3A"/>
          <w:sz w:val="20"/>
        </w:rPr>
        <w:t>Security information appears near the action it affects. This supports comprehension without forcing users to remember rules from another screen.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FF6FF"/>
          </w:tcPr>
          <w:p>
            <w:pPr>
              <w:spacing w:after="0"/>
            </w:pPr>
            <w:r>
              <w:rPr>
                <w:rFonts w:ascii="Aptos" w:hAnsi="Aptos"/>
                <w:b/>
                <w:i w:val="0"/>
                <w:color w:val="1468E8"/>
                <w:sz w:val="18"/>
              </w:rPr>
              <w:t xml:space="preserve">HCI FOCUS  </w:t>
            </w:r>
            <w:r>
              <w:rPr>
                <w:rFonts w:ascii="Aptos" w:hAnsi="Aptos"/>
                <w:b w:val="0"/>
                <w:i w:val="0"/>
                <w:color w:val="172B3A"/>
                <w:sz w:val="20"/>
              </w:rPr>
              <w:t>Contextual guidance • controlled disclosure • familiar actions • privacy by default</w:t>
            </w:r>
          </w:p>
        </w:tc>
      </w:tr>
    </w:tbl>
    <w:p>
      <w:pPr>
        <w:spacing w:after="0"/>
      </w:pPr>
    </w:p>
    <w:p>
      <w:r>
        <w:br w:type="page"/>
      </w:r>
    </w:p>
    <w:p>
      <w:pPr>
        <w:pStyle w:val="Heading2"/>
      </w:pPr>
      <w:r>
        <w:t>4.5 Data Control and Account Wipe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DEBFF"/>
          </w:tcPr>
          <w:p>
            <w:pPr>
              <w:jc w:val="center"/>
            </w:pPr>
            <w:r>
              <w:drawing>
                <wp:inline xmlns:a="http://schemas.openxmlformats.org/drawingml/2006/main" xmlns:pic="http://schemas.openxmlformats.org/drawingml/2006/picture">
                  <wp:extent cx="5623560" cy="2655448"/>
                  <wp:docPr id="8" name="Picture 8" descr="Figure 5 — Data portability and irreversible deletion" title="Figure 5 — Data portability and irreversible deletion"/>
                  <wp:cNvGraphicFramePr>
                    <a:graphicFrameLocks noChangeAspect="1"/>
                  </wp:cNvGraphicFramePr>
                  <a:graphic>
                    <a:graphicData uri="http://schemas.openxmlformats.org/drawingml/2006/picture">
                      <pic:pic>
                        <pic:nvPicPr>
                          <pic:cNvPr id="0" name="codex-clipboard-a2df6a0f-7c94-4b2d-94aa-55150f064465.png"/>
                          <pic:cNvPicPr/>
                        </pic:nvPicPr>
                        <pic:blipFill>
                          <a:blip r:embed="rId18"/>
                          <a:stretch>
                            <a:fillRect/>
                          </a:stretch>
                        </pic:blipFill>
                        <pic:spPr>
                          <a:xfrm>
                            <a:off x="0" y="0"/>
                            <a:ext cx="5623560" cy="2655448"/>
                          </a:xfrm>
                          <a:prstGeom prst="rect"/>
                        </pic:spPr>
                      </pic:pic>
                    </a:graphicData>
                  </a:graphic>
                </wp:inline>
              </w:drawing>
            </w:r>
          </w:p>
        </w:tc>
      </w:tr>
    </w:tbl>
    <w:p>
      <w:pPr>
        <w:spacing w:before="80" w:after="180"/>
        <w:jc w:val="center"/>
      </w:pPr>
      <w:r>
        <w:rPr>
          <w:rFonts w:ascii="Aptos" w:hAnsi="Aptos"/>
          <w:b/>
          <w:i w:val="0"/>
          <w:color w:val="1468E8"/>
          <w:sz w:val="18"/>
        </w:rPr>
        <w:t xml:space="preserve">Figure 5 — Data portability and irreversible deletion. </w:t>
      </w:r>
      <w:r>
        <w:rPr>
          <w:rFonts w:ascii="Aptos" w:hAnsi="Aptos"/>
          <w:b w:val="0"/>
          <w:i w:val="0"/>
          <w:color w:val="64758B"/>
          <w:sz w:val="18"/>
        </w:rPr>
        <w:t>Archive export explains the separate passphrase and its recovery boundary. Account wiping is visually separated and labelled irreversible, adding deliberate friction where mistakes would be costly.</w:t>
      </w:r>
    </w:p>
    <w:p>
      <w:pPr>
        <w:pStyle w:val="Heading2"/>
      </w:pPr>
      <w:r>
        <w:t>Ethical rationale</w:t>
      </w:r>
    </w:p>
    <w:p>
      <w:pPr>
        <w:spacing w:after="120" w:line="276" w:lineRule="auto"/>
      </w:pPr>
      <w:r>
        <w:rPr>
          <w:rFonts w:ascii="Aptos" w:hAnsi="Aptos"/>
          <w:b w:val="0"/>
          <w:i w:val="0"/>
          <w:color w:val="172B3A"/>
          <w:sz w:val="20"/>
        </w:rPr>
        <w:t>Portability supports ownership; deletion supports autonomy. The interface avoids false reassurance by explaining what the archive contains and why an irreversible action requires stronger confirmation.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FFF5D9"/>
          </w:tcPr>
          <w:p>
            <w:pPr>
              <w:spacing w:after="0"/>
            </w:pPr>
            <w:r>
              <w:rPr>
                <w:rFonts w:ascii="Aptos" w:hAnsi="Aptos"/>
                <w:b/>
                <w:i w:val="0"/>
                <w:color w:val="1468E8"/>
                <w:sz w:val="18"/>
              </w:rPr>
              <w:t xml:space="preserve">HCI FOCUS  </w:t>
            </w:r>
            <w:r>
              <w:rPr>
                <w:rFonts w:ascii="Aptos" w:hAnsi="Aptos"/>
                <w:b w:val="0"/>
                <w:i w:val="0"/>
                <w:color w:val="172B3A"/>
                <w:sz w:val="20"/>
              </w:rPr>
              <w:t>Error prevention • clear consequence • closure • responsible friction</w:t>
            </w:r>
          </w:p>
        </w:tc>
      </w:tr>
    </w:tbl>
    <w:p>
      <w:pPr>
        <w:spacing w:after="0"/>
      </w:pPr>
    </w:p>
    <w:p>
      <w:r>
        <w:br w:type="page"/>
      </w:r>
    </w:p>
    <w:p>
      <w:pPr>
        <w:pStyle w:val="Heading1"/>
      </w:pPr>
      <w:r>
        <w:t>5. Evaluation</w:t>
      </w:r>
    </w:p>
    <w:p>
      <w:pPr>
        <w:spacing w:after="120" w:line="276" w:lineRule="auto"/>
      </w:pPr>
      <w:r>
        <w:rPr>
          <w:rFonts w:ascii="Aptos" w:hAnsi="Aptos"/>
          <w:b w:val="0"/>
          <w:i w:val="0"/>
          <w:color w:val="172B3A"/>
          <w:sz w:val="20"/>
        </w:rPr>
        <w:t>A task-based heuristic review was conducted across desktop and compact layouts. The review assessed completion, consistency, feedback, privacy comprehension, accessibility and recovery.</w:t>
      </w:r>
    </w:p>
    <w:tbl>
      <w:tblPr>
        <w:tblStyle w:val="TableGrid"/>
        <w:tblW w:type="dxa" w:w="9360"/>
        <w:jc w:val="center"/>
        <w:tblLayout w:type="fixed"/>
        <w:tblLook w:firstColumn="1" w:firstRow="1" w:lastColumn="0" w:lastRow="0" w:noHBand="0" w:noVBand="1" w:val="04A0"/>
        <w:tblInd w:w="120" w:type="dxa"/>
      </w:tblPr>
      <w:tblGrid>
        <w:gridCol w:w="2400"/>
        <w:gridCol w:w="5700"/>
        <w:gridCol w:w="1260"/>
      </w:tblGrid>
      <w:tr>
        <w:trPr>
          <w:tblHeader w:val="true"/>
        </w:trPr>
        <w:tc>
          <w:tcPr>
            <w:tcW w:type="dxa" w:w="2400"/>
            <w:shd w:fill="102A43"/>
            <w:tcMar>
              <w:top w:w="110" w:type="dxa"/>
              <w:start w:w="120" w:type="dxa"/>
              <w:bottom w:w="110" w:type="dxa"/>
              <w:end w:w="120" w:type="dxa"/>
            </w:tcMar>
          </w:tcPr>
          <w:p>
            <w:r>
              <w:rPr>
                <w:rFonts w:ascii="Aptos" w:hAnsi="Aptos"/>
                <w:b/>
                <w:i w:val="0"/>
                <w:color w:val="FFFFFF"/>
                <w:sz w:val="18"/>
              </w:rPr>
              <w:t>Task</w:t>
            </w:r>
          </w:p>
        </w:tc>
        <w:tc>
          <w:tcPr>
            <w:tcW w:type="dxa" w:w="5700"/>
            <w:shd w:fill="102A43"/>
            <w:tcMar>
              <w:top w:w="110" w:type="dxa"/>
              <w:start w:w="120" w:type="dxa"/>
              <w:bottom w:w="110" w:type="dxa"/>
              <w:end w:w="120" w:type="dxa"/>
            </w:tcMar>
          </w:tcPr>
          <w:p>
            <w:r>
              <w:rPr>
                <w:rFonts w:ascii="Aptos" w:hAnsi="Aptos"/>
                <w:b/>
                <w:i w:val="0"/>
                <w:color w:val="FFFFFF"/>
                <w:sz w:val="18"/>
              </w:rPr>
              <w:t>Observed outcome</w:t>
            </w:r>
          </w:p>
        </w:tc>
        <w:tc>
          <w:tcPr>
            <w:tcW w:type="dxa" w:w="1260"/>
            <w:shd w:fill="102A43"/>
            <w:tcMar>
              <w:top w:w="110" w:type="dxa"/>
              <w:start w:w="120" w:type="dxa"/>
              <w:bottom w:w="110" w:type="dxa"/>
              <w:end w:w="120" w:type="dxa"/>
            </w:tcMar>
          </w:tcPr>
          <w:p>
            <w:r>
              <w:rPr>
                <w:rFonts w:ascii="Aptos" w:hAnsi="Aptos"/>
                <w:b/>
                <w:i w:val="0"/>
                <w:color w:val="FFFFFF"/>
                <w:sz w:val="18"/>
              </w:rPr>
              <w:t>Result</w:t>
            </w:r>
          </w:p>
        </w:tc>
      </w:tr>
      <w:tr>
        <w:tc>
          <w:tcPr>
            <w:tcW w:type="dxa" w:w="2400"/>
            <w:vAlign w:val="center"/>
            <w:tcMar>
              <w:top w:w="110" w:type="dxa"/>
              <w:start w:w="120" w:type="dxa"/>
              <w:bottom w:w="110" w:type="dxa"/>
              <w:end w:w="120" w:type="dxa"/>
            </w:tcMar>
          </w:tcPr>
          <w:p>
            <w:r>
              <w:rPr>
                <w:rFonts w:ascii="Aptos" w:hAnsi="Aptos"/>
                <w:b/>
                <w:i w:val="0"/>
                <w:color w:val="102A43"/>
                <w:sz w:val="17"/>
              </w:rPr>
              <w:t>Create account on short screen</w:t>
            </w:r>
          </w:p>
        </w:tc>
        <w:tc>
          <w:tcPr>
            <w:tcW w:type="dxa" w:w="5700"/>
            <w:vAlign w:val="center"/>
            <w:tcMar>
              <w:top w:w="110" w:type="dxa"/>
              <w:start w:w="120" w:type="dxa"/>
              <w:bottom w:w="110" w:type="dxa"/>
              <w:end w:w="120" w:type="dxa"/>
            </w:tcMar>
          </w:tcPr>
          <w:p>
            <w:r>
              <w:rPr>
                <w:rFonts w:ascii="Aptos" w:hAnsi="Aptos"/>
                <w:b w:val="0"/>
                <w:i w:val="0"/>
                <w:color w:val="172B3A"/>
                <w:sz w:val="17"/>
              </w:rPr>
              <w:t>All fields reachable without zooming.</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r>
        <w:tc>
          <w:tcPr>
            <w:tcW w:type="dxa" w:w="2400"/>
            <w:vAlign w:val="center"/>
            <w:tcMar>
              <w:top w:w="110" w:type="dxa"/>
              <w:start w:w="120" w:type="dxa"/>
              <w:bottom w:w="110" w:type="dxa"/>
              <w:end w:w="120" w:type="dxa"/>
            </w:tcMar>
          </w:tcPr>
          <w:p>
            <w:r>
              <w:rPr>
                <w:rFonts w:ascii="Aptos" w:hAnsi="Aptos"/>
                <w:b/>
                <w:i w:val="0"/>
                <w:color w:val="102A43"/>
                <w:sz w:val="17"/>
              </w:rPr>
              <w:t>Search a username</w:t>
            </w:r>
          </w:p>
        </w:tc>
        <w:tc>
          <w:tcPr>
            <w:tcW w:type="dxa" w:w="5700"/>
            <w:vAlign w:val="center"/>
            <w:tcMar>
              <w:top w:w="110" w:type="dxa"/>
              <w:start w:w="120" w:type="dxa"/>
              <w:bottom w:w="110" w:type="dxa"/>
              <w:end w:w="120" w:type="dxa"/>
            </w:tcMar>
          </w:tcPr>
          <w:p>
            <w:r>
              <w:rPr>
                <w:rFonts w:ascii="Aptos" w:hAnsi="Aptos"/>
                <w:b w:val="0"/>
                <w:i w:val="0"/>
                <w:color w:val="172B3A"/>
                <w:sz w:val="17"/>
              </w:rPr>
              <w:t>Related results appear after two characters.</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r>
        <w:tc>
          <w:tcPr>
            <w:tcW w:type="dxa" w:w="2400"/>
            <w:vAlign w:val="center"/>
            <w:tcMar>
              <w:top w:w="110" w:type="dxa"/>
              <w:start w:w="120" w:type="dxa"/>
              <w:bottom w:w="110" w:type="dxa"/>
              <w:end w:w="120" w:type="dxa"/>
            </w:tcMar>
          </w:tcPr>
          <w:p>
            <w:r>
              <w:rPr>
                <w:rFonts w:ascii="Aptos" w:hAnsi="Aptos"/>
                <w:b/>
                <w:i w:val="0"/>
                <w:color w:val="102A43"/>
                <w:sz w:val="17"/>
              </w:rPr>
              <w:t>Send/accept request</w:t>
            </w:r>
          </w:p>
        </w:tc>
        <w:tc>
          <w:tcPr>
            <w:tcW w:type="dxa" w:w="5700"/>
            <w:vAlign w:val="center"/>
            <w:tcMar>
              <w:top w:w="110" w:type="dxa"/>
              <w:start w:w="120" w:type="dxa"/>
              <w:bottom w:w="110" w:type="dxa"/>
              <w:end w:w="120" w:type="dxa"/>
            </w:tcMar>
          </w:tcPr>
          <w:p>
            <w:r>
              <w:rPr>
                <w:rFonts w:ascii="Aptos" w:hAnsi="Aptos"/>
                <w:b w:val="0"/>
                <w:i w:val="0"/>
                <w:color w:val="172B3A"/>
                <w:sz w:val="17"/>
              </w:rPr>
              <w:t>Introduction and consent boundary remain visible.</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r>
        <w:tc>
          <w:tcPr>
            <w:tcW w:type="dxa" w:w="2400"/>
            <w:vAlign w:val="center"/>
            <w:tcMar>
              <w:top w:w="110" w:type="dxa"/>
              <w:start w:w="120" w:type="dxa"/>
              <w:bottom w:w="110" w:type="dxa"/>
              <w:end w:w="120" w:type="dxa"/>
            </w:tcMar>
          </w:tcPr>
          <w:p>
            <w:r>
              <w:rPr>
                <w:rFonts w:ascii="Aptos" w:hAnsi="Aptos"/>
                <w:b/>
                <w:i w:val="0"/>
                <w:color w:val="102A43"/>
                <w:sz w:val="17"/>
              </w:rPr>
              <w:t>Open/close chat</w:t>
            </w:r>
          </w:p>
        </w:tc>
        <w:tc>
          <w:tcPr>
            <w:tcW w:type="dxa" w:w="5700"/>
            <w:vAlign w:val="center"/>
            <w:tcMar>
              <w:top w:w="110" w:type="dxa"/>
              <w:start w:w="120" w:type="dxa"/>
              <w:bottom w:w="110" w:type="dxa"/>
              <w:end w:w="120" w:type="dxa"/>
            </w:tcMar>
          </w:tcPr>
          <w:p>
            <w:r>
              <w:rPr>
                <w:rFonts w:ascii="Aptos" w:hAnsi="Aptos"/>
                <w:b w:val="0"/>
                <w:i w:val="0"/>
                <w:color w:val="172B3A"/>
                <w:sz w:val="17"/>
              </w:rPr>
              <w:t>Header/composer stay fixed; messages alone scroll.</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r>
        <w:tc>
          <w:tcPr>
            <w:tcW w:type="dxa" w:w="2400"/>
            <w:vAlign w:val="center"/>
            <w:tcMar>
              <w:top w:w="110" w:type="dxa"/>
              <w:start w:w="120" w:type="dxa"/>
              <w:bottom w:w="110" w:type="dxa"/>
              <w:end w:w="120" w:type="dxa"/>
            </w:tcMar>
          </w:tcPr>
          <w:p>
            <w:r>
              <w:rPr>
                <w:rFonts w:ascii="Aptos" w:hAnsi="Aptos"/>
                <w:b/>
                <w:i w:val="0"/>
                <w:color w:val="102A43"/>
                <w:sz w:val="17"/>
              </w:rPr>
              <w:t>Change privacy setting</w:t>
            </w:r>
          </w:p>
        </w:tc>
        <w:tc>
          <w:tcPr>
            <w:tcW w:type="dxa" w:w="5700"/>
            <w:vAlign w:val="center"/>
            <w:tcMar>
              <w:top w:w="110" w:type="dxa"/>
              <w:start w:w="120" w:type="dxa"/>
              <w:bottom w:w="110" w:type="dxa"/>
              <w:end w:w="120" w:type="dxa"/>
            </w:tcMar>
          </w:tcPr>
          <w:p>
            <w:r>
              <w:rPr>
                <w:rFonts w:ascii="Aptos" w:hAnsi="Aptos"/>
                <w:b w:val="0"/>
                <w:i w:val="0"/>
                <w:color w:val="172B3A"/>
                <w:sz w:val="17"/>
              </w:rPr>
              <w:t>Immediate confirmation without layout shift.</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r>
        <w:tc>
          <w:tcPr>
            <w:tcW w:type="dxa" w:w="2400"/>
            <w:vAlign w:val="center"/>
            <w:tcMar>
              <w:top w:w="110" w:type="dxa"/>
              <w:start w:w="120" w:type="dxa"/>
              <w:bottom w:w="110" w:type="dxa"/>
              <w:end w:w="120" w:type="dxa"/>
            </w:tcMar>
          </w:tcPr>
          <w:p>
            <w:r>
              <w:rPr>
                <w:rFonts w:ascii="Aptos" w:hAnsi="Aptos"/>
                <w:b/>
                <w:i w:val="0"/>
                <w:color w:val="102A43"/>
                <w:sz w:val="17"/>
              </w:rPr>
              <w:t>Export or wipe data</w:t>
            </w:r>
          </w:p>
        </w:tc>
        <w:tc>
          <w:tcPr>
            <w:tcW w:type="dxa" w:w="5700"/>
            <w:vAlign w:val="center"/>
            <w:tcMar>
              <w:top w:w="110" w:type="dxa"/>
              <w:start w:w="120" w:type="dxa"/>
              <w:bottom w:w="110" w:type="dxa"/>
              <w:end w:w="120" w:type="dxa"/>
            </w:tcMar>
          </w:tcPr>
          <w:p>
            <w:r>
              <w:rPr>
                <w:rFonts w:ascii="Aptos" w:hAnsi="Aptos"/>
                <w:b w:val="0"/>
                <w:i w:val="0"/>
                <w:color w:val="172B3A"/>
                <w:sz w:val="17"/>
              </w:rPr>
              <w:t>Consequences and destructive scope are explicit.</w:t>
            </w:r>
          </w:p>
        </w:tc>
        <w:tc>
          <w:tcPr>
            <w:tcW w:type="dxa" w:w="1260"/>
            <w:vAlign w:val="center"/>
            <w:tcMar>
              <w:top w:w="110" w:type="dxa"/>
              <w:start w:w="120" w:type="dxa"/>
              <w:bottom w:w="110" w:type="dxa"/>
              <w:end w:w="120" w:type="dxa"/>
            </w:tcMar>
          </w:tcPr>
          <w:p>
            <w:r>
              <w:rPr>
                <w:rFonts w:ascii="Aptos" w:hAnsi="Aptos"/>
                <w:b w:val="0"/>
                <w:i w:val="0"/>
                <w:color w:val="172B3A"/>
                <w:sz w:val="17"/>
              </w:rPr>
              <w:t>Pass</w:t>
            </w:r>
          </w:p>
        </w:tc>
      </w:tr>
    </w:tbl>
    <w:p>
      <w:pPr>
        <w:pStyle w:val="Heading2"/>
      </w:pPr>
      <w:r>
        <w:t>Key Findings</w:t>
      </w:r>
    </w:p>
    <w:p>
      <w:pPr>
        <w:pStyle w:val="ListBullet"/>
        <w:spacing w:after="60" w:line="269" w:lineRule="auto"/>
      </w:pPr>
      <w:r>
        <w:rPr>
          <w:rFonts w:ascii="Aptos" w:hAnsi="Aptos"/>
          <w:b w:val="0"/>
          <w:i w:val="0"/>
          <w:color w:val="172B3A"/>
          <w:sz w:val="20"/>
        </w:rPr>
        <w:t>Consequences are easier to understand when explained beside the control.</w:t>
      </w:r>
    </w:p>
    <w:p>
      <w:pPr>
        <w:pStyle w:val="ListBullet"/>
        <w:spacing w:after="60" w:line="269" w:lineRule="auto"/>
      </w:pPr>
      <w:r>
        <w:rPr>
          <w:rFonts w:ascii="Aptos" w:hAnsi="Aptos"/>
          <w:b w:val="0"/>
          <w:i w:val="0"/>
          <w:color w:val="172B3A"/>
          <w:sz w:val="20"/>
        </w:rPr>
        <w:t>Consent-first requests reduce unwanted behavioural disclosure.</w:t>
      </w:r>
    </w:p>
    <w:p>
      <w:pPr>
        <w:pStyle w:val="ListBullet"/>
        <w:spacing w:after="60" w:line="269" w:lineRule="auto"/>
      </w:pPr>
      <w:r>
        <w:rPr>
          <w:rFonts w:ascii="Aptos" w:hAnsi="Aptos"/>
          <w:b w:val="0"/>
          <w:i w:val="0"/>
          <w:color w:val="172B3A"/>
          <w:sz w:val="20"/>
        </w:rPr>
        <w:t>Visible feedback and recovery actions improve confidence in sensitive tasks.</w:t>
      </w:r>
    </w:p>
    <w:p>
      <w:pPr>
        <w:pStyle w:val="ListBullet"/>
        <w:spacing w:after="60" w:line="269" w:lineRule="auto"/>
      </w:pPr>
      <w:r>
        <w:rPr>
          <w:rFonts w:ascii="Aptos" w:hAnsi="Aptos"/>
          <w:b w:val="0"/>
          <w:i w:val="0"/>
          <w:color w:val="172B3A"/>
          <w:sz w:val="20"/>
        </w:rPr>
        <w:t>Honest limits make security communication more credible than absolute claims.</w:t>
      </w:r>
    </w:p>
    <w:p>
      <w:pPr>
        <w:pStyle w:val="Heading2"/>
      </w:pPr>
      <w:r>
        <w:t>Limitations</w:t>
      </w:r>
    </w:p>
    <w:p>
      <w:pPr>
        <w:spacing w:after="120" w:line="276" w:lineRule="auto"/>
      </w:pPr>
      <w:r>
        <w:rPr>
          <w:rFonts w:ascii="Aptos" w:hAnsi="Aptos"/>
          <w:b w:val="0"/>
          <w:i w:val="0"/>
          <w:color w:val="172B3A"/>
          <w:sz w:val="20"/>
        </w:rPr>
        <w:t>This is an academic prototype evaluated through heuristic and task review, not a production messenger or large-sample study. Future evaluation should include representative participants, task time, error rate, completion rate and a brief post-task usability questionnaire.</w:t>
      </w:r>
    </w:p>
    <w:p>
      <w:r>
        <w:br w:type="page"/>
      </w:r>
    </w:p>
    <w:p>
      <w:pPr>
        <w:pStyle w:val="Heading1"/>
      </w:pPr>
      <w:r>
        <w:t>6. Conclusion</w:t>
      </w:r>
    </w:p>
    <w:p>
      <w:pPr>
        <w:spacing w:after="120" w:line="276" w:lineRule="auto"/>
      </w:pPr>
      <w:r>
        <w:rPr>
          <w:rFonts w:ascii="Aptos" w:hAnsi="Aptos"/>
          <w:b w:val="0"/>
          <w:i w:val="0"/>
          <w:color w:val="172B3A"/>
          <w:sz w:val="20"/>
        </w:rPr>
        <w:t>SecureChat demonstrates how Privacy and Data Ethics can become visible parts of UX design. The interface combines meaningful consent, minimisation, transparency, accessibility and user control with familiar chat patterns. Its core HCI contribution is not the number of controls; it is helping users predict outcomes, understand boundaries and recover from mistakes.</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20" w:type="dxa"/>
              <w:bottom w:w="150" w:type="dxa"/>
              <w:end w:w="120" w:type="dxa"/>
            </w:tcMar>
            <w:shd w:fill="E9F8F4"/>
          </w:tcPr>
          <w:p>
            <w:pPr>
              <w:spacing w:after="0"/>
            </w:pPr>
            <w:r>
              <w:rPr>
                <w:rFonts w:ascii="Aptos" w:hAnsi="Aptos"/>
                <w:b/>
                <w:i w:val="0"/>
                <w:color w:val="1468E8"/>
                <w:sz w:val="18"/>
              </w:rPr>
              <w:t xml:space="preserve">FINAL DESIGN CLAIM  </w:t>
            </w:r>
            <w:r>
              <w:rPr>
                <w:rFonts w:ascii="Aptos" w:hAnsi="Aptos"/>
                <w:b w:val="0"/>
                <w:i w:val="0"/>
                <w:color w:val="172B3A"/>
                <w:sz w:val="20"/>
              </w:rPr>
              <w:t>A secure experience is usable only when people understand what is happening and remain in control.</w:t>
            </w:r>
          </w:p>
        </w:tc>
      </w:tr>
    </w:tbl>
    <w:p>
      <w:pPr>
        <w:spacing w:after="0"/>
      </w:pPr>
    </w:p>
    <w:p>
      <w:pPr>
        <w:pStyle w:val="Heading2"/>
      </w:pPr>
      <w:r>
        <w:t>Short Viva Showcase</w:t>
      </w:r>
    </w:p>
    <w:p>
      <w:pPr>
        <w:pStyle w:val="ListBullet"/>
        <w:spacing w:after="60" w:line="269" w:lineRule="auto"/>
      </w:pPr>
      <w:r>
        <w:rPr>
          <w:rFonts w:ascii="Aptos" w:hAnsi="Aptos"/>
          <w:b w:val="0"/>
          <w:i w:val="0"/>
          <w:color w:val="172B3A"/>
          <w:sz w:val="20"/>
        </w:rPr>
        <w:t>Identify the logged-in account using the bottom profile photo.</w:t>
      </w:r>
    </w:p>
    <w:p>
      <w:pPr>
        <w:pStyle w:val="ListBullet"/>
        <w:spacing w:after="60" w:line="269" w:lineRule="auto"/>
      </w:pPr>
      <w:r>
        <w:rPr>
          <w:rFonts w:ascii="Aptos" w:hAnsi="Aptos"/>
          <w:b w:val="0"/>
          <w:i w:val="0"/>
          <w:color w:val="172B3A"/>
          <w:sz w:val="20"/>
        </w:rPr>
        <w:t>Type two username characters and explain limited, privacy-aware discovery.</w:t>
      </w:r>
    </w:p>
    <w:p>
      <w:pPr>
        <w:pStyle w:val="ListBullet"/>
        <w:spacing w:after="60" w:line="269" w:lineRule="auto"/>
      </w:pPr>
      <w:r>
        <w:rPr>
          <w:rFonts w:ascii="Aptos" w:hAnsi="Aptos"/>
          <w:b w:val="0"/>
          <w:i w:val="0"/>
          <w:color w:val="172B3A"/>
          <w:sz w:val="20"/>
        </w:rPr>
        <w:t>Send a request and explain the pre-acceptance consent boundary.</w:t>
      </w:r>
    </w:p>
    <w:p>
      <w:pPr>
        <w:pStyle w:val="ListBullet"/>
        <w:spacing w:after="60" w:line="269" w:lineRule="auto"/>
      </w:pPr>
      <w:r>
        <w:rPr>
          <w:rFonts w:ascii="Aptos" w:hAnsi="Aptos"/>
          <w:b w:val="0"/>
          <w:i w:val="0"/>
          <w:color w:val="172B3A"/>
          <w:sz w:val="20"/>
        </w:rPr>
        <w:t>Open an accepted chat and point out E2EE status, fixed controls and message feedback.</w:t>
      </w:r>
    </w:p>
    <w:p>
      <w:pPr>
        <w:pStyle w:val="ListBullet"/>
        <w:spacing w:after="60" w:line="269" w:lineRule="auto"/>
      </w:pPr>
      <w:r>
        <w:rPr>
          <w:rFonts w:ascii="Aptos" w:hAnsi="Aptos"/>
          <w:b w:val="0"/>
          <w:i w:val="0"/>
          <w:color w:val="172B3A"/>
          <w:sz w:val="20"/>
        </w:rPr>
        <w:t>Change a privacy setting and show its consequence and confirmation.</w:t>
      </w:r>
    </w:p>
    <w:p>
      <w:pPr>
        <w:pStyle w:val="ListBullet"/>
        <w:spacing w:after="60" w:line="269" w:lineRule="auto"/>
      </w:pPr>
      <w:r>
        <w:rPr>
          <w:rFonts w:ascii="Aptos" w:hAnsi="Aptos"/>
          <w:b w:val="0"/>
          <w:i w:val="0"/>
          <w:color w:val="172B3A"/>
          <w:sz w:val="20"/>
        </w:rPr>
        <w:t>Open Data Control and explain portability versus irreversible deletion.</w:t>
      </w:r>
    </w:p>
    <w:p>
      <w:pPr>
        <w:pStyle w:val="Heading1"/>
      </w:pPr>
      <w:r>
        <w:t>References</w:t>
      </w:r>
    </w:p>
    <w:p>
      <w:pPr>
        <w:pStyle w:val="ListBullet"/>
        <w:spacing w:after="60"/>
      </w:pPr>
      <w:r>
        <w:rPr>
          <w:rFonts w:ascii="Aptos" w:hAnsi="Aptos"/>
          <w:b w:val="0"/>
          <w:i w:val="0"/>
          <w:color w:val="172B3A"/>
          <w:sz w:val="17"/>
        </w:rPr>
        <w:t xml:space="preserve">Shneiderman, B. et al. Designing the User Interface, 6th ed. </w:t>
      </w:r>
      <w:r>
        <w:rPr>
          <w:rFonts w:ascii="Aptos" w:hAnsi="Aptos"/>
          <w:b w:val="0"/>
          <w:i w:val="0"/>
          <w:color w:val="1468E8"/>
          <w:sz w:val="16"/>
        </w:rPr>
        <w:t>https://www.cs.umd.edu/users/ben/goldenrules.html</w:t>
      </w:r>
    </w:p>
    <w:p>
      <w:pPr>
        <w:pStyle w:val="ListBullet"/>
        <w:spacing w:after="60"/>
      </w:pPr>
      <w:r>
        <w:rPr>
          <w:rFonts w:ascii="Aptos" w:hAnsi="Aptos"/>
          <w:b w:val="0"/>
          <w:i w:val="0"/>
          <w:color w:val="172B3A"/>
          <w:sz w:val="17"/>
        </w:rPr>
        <w:t xml:space="preserve">European Union. GDPR Article 5 — transparency and data minimisation. </w:t>
      </w:r>
      <w:r>
        <w:rPr>
          <w:rFonts w:ascii="Aptos" w:hAnsi="Aptos"/>
          <w:b w:val="0"/>
          <w:i w:val="0"/>
          <w:color w:val="1468E8"/>
          <w:sz w:val="16"/>
        </w:rPr>
        <w:t>https://eur-lex.europa.eu/legal-content/EN/TXT/?uri=CELEX:32016R0679</w:t>
      </w:r>
    </w:p>
    <w:p>
      <w:pPr>
        <w:pStyle w:val="ListBullet"/>
        <w:spacing w:after="60"/>
      </w:pPr>
      <w:r>
        <w:rPr>
          <w:rFonts w:ascii="Aptos" w:hAnsi="Aptos"/>
          <w:b w:val="0"/>
          <w:i w:val="0"/>
          <w:color w:val="172B3A"/>
          <w:sz w:val="17"/>
        </w:rPr>
        <w:t xml:space="preserve">NIST Privacy Framework. </w:t>
      </w:r>
      <w:r>
        <w:rPr>
          <w:rFonts w:ascii="Aptos" w:hAnsi="Aptos"/>
          <w:b w:val="0"/>
          <w:i w:val="0"/>
          <w:color w:val="1468E8"/>
          <w:sz w:val="16"/>
        </w:rPr>
        <w:t>https://www.nist.gov/privacy-framework</w:t>
      </w:r>
    </w:p>
    <w:p>
      <w:pPr>
        <w:pStyle w:val="ListBullet"/>
        <w:spacing w:after="60"/>
      </w:pPr>
      <w:r>
        <w:rPr>
          <w:rFonts w:ascii="Aptos" w:hAnsi="Aptos"/>
          <w:b w:val="0"/>
          <w:i w:val="0"/>
          <w:color w:val="172B3A"/>
          <w:sz w:val="17"/>
        </w:rPr>
        <w:t xml:space="preserve">W3C. Web Content Accessibility Guidelines (WCAG) 2.2. </w:t>
      </w:r>
      <w:r>
        <w:rPr>
          <w:rFonts w:ascii="Aptos" w:hAnsi="Aptos"/>
          <w:b w:val="0"/>
          <w:i w:val="0"/>
          <w:color w:val="1468E8"/>
          <w:sz w:val="16"/>
        </w:rPr>
        <w:t>https://www.w3.org/TR/WCAG22/</w:t>
      </w:r>
    </w:p>
    <w:sectPr w:rsidR="00FC693F" w:rsidRPr="0006063C" w:rsidSect="00034616">
      <w:headerReference w:type="default" r:id="rId9"/>
      <w:footerReference w:type="default" r:id="rId10"/>
      <w:pgSz w:w="12240" w:h="15840"/>
      <w:pgMar w:top="1008" w:right="1440" w:bottom="1008" w:left="1440"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58B"/>
        <w:sz w:val="16"/>
      </w:rPr>
      <w:t xml:space="preserve">Iqra University  •  BSCS Semester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58B"/>
        <w:sz w:val="16"/>
      </w:rPr>
      <w:t>SECURECHAT  |  HCI &amp; DATA ETHICS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468E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68E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and Data Ethics in UX Design — SecureChat</dc:title>
  <dc:subject>HCI &amp; Graphics project report</dc:subject>
  <dc:creator>Iqra University BSCS Student</dc:creator>
  <cp:keywords>HCI, UX, privacy, data ethics, SecureChat</cp:keywords>
  <dc:description>generated by python-docx</dc:description>
  <cp:lastModifiedBy/>
  <cp:revision>1</cp:revision>
  <dcterms:created xsi:type="dcterms:W3CDTF">2013-12-23T23:15:00Z</dcterms:created>
  <dcterms:modified xsi:type="dcterms:W3CDTF">2013-12-23T23:15:00Z</dcterms:modified>
  <cp:category/>
</cp:coreProperties>
</file>