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8FC" w:rsidRPr="00D82B57" w:rsidRDefault="00CA5BBE" w:rsidP="002928FC">
      <w:pPr>
        <w:pStyle w:val="ListParagraph"/>
        <w:numPr>
          <w:ilvl w:val="0"/>
          <w:numId w:val="1"/>
        </w:numPr>
        <w:spacing w:after="0"/>
      </w:pPr>
      <w:r w:rsidRPr="00D82B57">
        <w:t>Rank these according to their place in the capital structure:</w:t>
      </w:r>
    </w:p>
    <w:p w:rsidR="002928FC" w:rsidRPr="00D82B57" w:rsidRDefault="00CA5BBE" w:rsidP="002928FC">
      <w:pPr>
        <w:pStyle w:val="ListParagraph"/>
        <w:numPr>
          <w:ilvl w:val="1"/>
          <w:numId w:val="1"/>
        </w:numPr>
        <w:spacing w:after="0"/>
      </w:pPr>
      <w:r w:rsidRPr="00D82B57">
        <w:t>Senior debt</w:t>
      </w:r>
    </w:p>
    <w:p w:rsidR="002928FC" w:rsidRPr="00D82B57" w:rsidRDefault="00CA5BBE" w:rsidP="002928FC">
      <w:pPr>
        <w:pStyle w:val="ListParagraph"/>
        <w:numPr>
          <w:ilvl w:val="1"/>
          <w:numId w:val="1"/>
        </w:numPr>
        <w:spacing w:after="0"/>
      </w:pPr>
      <w:r w:rsidRPr="00D82B57">
        <w:t>Ordinary share</w:t>
      </w:r>
    </w:p>
    <w:p w:rsidR="00CA5BBE" w:rsidRPr="00D82B57" w:rsidRDefault="00CA5BBE" w:rsidP="002928FC">
      <w:pPr>
        <w:pStyle w:val="ListParagraph"/>
        <w:numPr>
          <w:ilvl w:val="1"/>
          <w:numId w:val="1"/>
        </w:numPr>
        <w:spacing w:after="0"/>
      </w:pPr>
      <w:r w:rsidRPr="00D82B57">
        <w:t>Term loan</w:t>
      </w:r>
    </w:p>
    <w:p w:rsidR="00CA5BBE" w:rsidRPr="00520415" w:rsidRDefault="00520415" w:rsidP="009D7CD6">
      <w:pPr>
        <w:spacing w:after="0"/>
        <w:ind w:left="360"/>
        <w:rPr>
          <w:b/>
          <w:sz w:val="30"/>
          <w:szCs w:val="30"/>
        </w:rPr>
      </w:pPr>
      <w:r>
        <w:rPr>
          <w:b/>
          <w:sz w:val="30"/>
          <w:szCs w:val="30"/>
        </w:rPr>
        <w:t>First: Senior debt/</w:t>
      </w:r>
      <w:r w:rsidR="009D7CD6" w:rsidRPr="00520415">
        <w:rPr>
          <w:b/>
          <w:sz w:val="30"/>
          <w:szCs w:val="30"/>
        </w:rPr>
        <w:t>term loan.</w:t>
      </w:r>
    </w:p>
    <w:p w:rsidR="009D7CD6" w:rsidRPr="00513CE6" w:rsidRDefault="009D7CD6" w:rsidP="00513CE6">
      <w:pPr>
        <w:spacing w:after="0"/>
        <w:ind w:left="360"/>
        <w:rPr>
          <w:b/>
          <w:sz w:val="30"/>
          <w:szCs w:val="30"/>
        </w:rPr>
      </w:pPr>
      <w:r w:rsidRPr="00520415">
        <w:rPr>
          <w:b/>
          <w:sz w:val="30"/>
          <w:szCs w:val="30"/>
        </w:rPr>
        <w:t>Second: Ordinary share.</w:t>
      </w:r>
    </w:p>
    <w:p w:rsidR="009D7CD6" w:rsidRDefault="009D7CD6" w:rsidP="00CA5BBE">
      <w:pPr>
        <w:pStyle w:val="ListParagraph"/>
        <w:spacing w:after="0"/>
      </w:pPr>
    </w:p>
    <w:p w:rsidR="002928FC" w:rsidRPr="00D82B57" w:rsidRDefault="00CA5BBE" w:rsidP="00CA5BBE">
      <w:pPr>
        <w:pStyle w:val="ListParagraph"/>
        <w:numPr>
          <w:ilvl w:val="0"/>
          <w:numId w:val="1"/>
        </w:numPr>
        <w:spacing w:after="0" w:line="240" w:lineRule="auto"/>
      </w:pPr>
      <w:r w:rsidRPr="00D82B57">
        <w:t>Rank these by their risk</w:t>
      </w:r>
    </w:p>
    <w:p w:rsidR="002928FC" w:rsidRPr="00D82B57" w:rsidRDefault="00CA5BBE" w:rsidP="002928FC">
      <w:pPr>
        <w:pStyle w:val="ListParagraph"/>
        <w:numPr>
          <w:ilvl w:val="1"/>
          <w:numId w:val="1"/>
        </w:numPr>
        <w:spacing w:after="0"/>
      </w:pPr>
      <w:r w:rsidRPr="00D82B57">
        <w:t>Japan large cap equity</w:t>
      </w:r>
    </w:p>
    <w:p w:rsidR="002928FC" w:rsidRPr="00D82B57" w:rsidRDefault="00CA5BBE" w:rsidP="002928FC">
      <w:pPr>
        <w:pStyle w:val="ListParagraph"/>
        <w:numPr>
          <w:ilvl w:val="1"/>
          <w:numId w:val="1"/>
        </w:numPr>
        <w:spacing w:after="0"/>
      </w:pPr>
      <w:r w:rsidRPr="00D82B57">
        <w:t>US small cap equity</w:t>
      </w:r>
    </w:p>
    <w:p w:rsidR="00CA5BBE" w:rsidRPr="00D82B57" w:rsidRDefault="00CA5BBE" w:rsidP="002928FC">
      <w:pPr>
        <w:pStyle w:val="ListParagraph"/>
        <w:numPr>
          <w:ilvl w:val="1"/>
          <w:numId w:val="1"/>
        </w:numPr>
        <w:spacing w:after="0"/>
      </w:pPr>
      <w:r w:rsidRPr="00D82B57">
        <w:t>Chinese mid cap equity</w:t>
      </w:r>
    </w:p>
    <w:p w:rsidR="00CA5BBE" w:rsidRDefault="00441626" w:rsidP="00CA5BBE">
      <w:pPr>
        <w:pStyle w:val="ListParagraph"/>
        <w:rPr>
          <w:b/>
          <w:sz w:val="30"/>
          <w:szCs w:val="30"/>
        </w:rPr>
      </w:pPr>
      <w:r w:rsidRPr="00D82B57">
        <w:rPr>
          <w:b/>
          <w:sz w:val="30"/>
          <w:szCs w:val="30"/>
        </w:rPr>
        <w:t>A</w:t>
      </w:r>
      <w:proofErr w:type="gramStart"/>
      <w:r w:rsidRPr="00D82B57">
        <w:rPr>
          <w:b/>
          <w:sz w:val="30"/>
          <w:szCs w:val="30"/>
        </w:rPr>
        <w:t>,C,B</w:t>
      </w:r>
      <w:proofErr w:type="gramEnd"/>
      <w:r w:rsidRPr="00D82B57">
        <w:rPr>
          <w:b/>
          <w:sz w:val="30"/>
          <w:szCs w:val="30"/>
        </w:rPr>
        <w:t>. Low to high risk</w:t>
      </w:r>
      <w:r w:rsidR="00513CE6" w:rsidRPr="00D82B57">
        <w:rPr>
          <w:b/>
          <w:sz w:val="30"/>
          <w:szCs w:val="30"/>
        </w:rPr>
        <w:t>.</w:t>
      </w:r>
      <w:r w:rsidR="00513CE6">
        <w:rPr>
          <w:b/>
          <w:sz w:val="30"/>
          <w:szCs w:val="30"/>
        </w:rPr>
        <w:t xml:space="preserve">  These can be argued due to the current ongoing uncertainty over trade war.</w:t>
      </w:r>
    </w:p>
    <w:p w:rsidR="00513CE6" w:rsidRPr="00513CE6" w:rsidRDefault="00513CE6" w:rsidP="00CA5BBE">
      <w:pPr>
        <w:pStyle w:val="ListParagraph"/>
        <w:rPr>
          <w:b/>
          <w:sz w:val="30"/>
          <w:szCs w:val="30"/>
        </w:rPr>
      </w:pPr>
    </w:p>
    <w:p w:rsidR="00CA5BBE" w:rsidRDefault="00CA5BBE" w:rsidP="00CA5BBE">
      <w:pPr>
        <w:pStyle w:val="ListParagraph"/>
        <w:numPr>
          <w:ilvl w:val="0"/>
          <w:numId w:val="1"/>
        </w:numPr>
      </w:pPr>
      <w:r>
        <w:t>Name 3 common equity style factors and describe what they represent</w:t>
      </w:r>
    </w:p>
    <w:p w:rsidR="00441626" w:rsidRDefault="00513CE6" w:rsidP="00CA5BBE">
      <w:pPr>
        <w:pStyle w:val="ListParagraph"/>
        <w:rPr>
          <w:b/>
          <w:sz w:val="30"/>
          <w:szCs w:val="30"/>
        </w:rPr>
      </w:pPr>
      <w:r w:rsidRPr="00D57C0E">
        <w:rPr>
          <w:b/>
          <w:sz w:val="30"/>
          <w:szCs w:val="30"/>
        </w:rPr>
        <w:t xml:space="preserve">Value factor: </w:t>
      </w:r>
      <w:r w:rsidR="00D57C0E" w:rsidRPr="00D57C0E">
        <w:rPr>
          <w:b/>
          <w:sz w:val="30"/>
          <w:szCs w:val="30"/>
        </w:rPr>
        <w:t xml:space="preserve">some smaller companies may outperform larger companies due to their niche or flexibility to pivot.   Such value can be realised by identifying companies whose price is lower than their fundamental value (e.g. low P/E).  </w:t>
      </w:r>
    </w:p>
    <w:p w:rsidR="00D57C0E" w:rsidRDefault="00D57C0E" w:rsidP="00CA5BBE">
      <w:pPr>
        <w:pStyle w:val="ListParagraph"/>
        <w:rPr>
          <w:b/>
          <w:sz w:val="30"/>
          <w:szCs w:val="30"/>
        </w:rPr>
      </w:pPr>
    </w:p>
    <w:p w:rsidR="00D57C0E" w:rsidRDefault="009B6D06" w:rsidP="00CA5BBE">
      <w:pPr>
        <w:pStyle w:val="ListParagraph"/>
        <w:rPr>
          <w:b/>
          <w:sz w:val="30"/>
          <w:szCs w:val="30"/>
        </w:rPr>
      </w:pPr>
      <w:r>
        <w:rPr>
          <w:b/>
          <w:sz w:val="30"/>
          <w:szCs w:val="30"/>
        </w:rPr>
        <w:t xml:space="preserve">Momentum: this </w:t>
      </w:r>
      <w:r w:rsidR="00D82B57">
        <w:rPr>
          <w:b/>
          <w:sz w:val="30"/>
          <w:szCs w:val="30"/>
        </w:rPr>
        <w:t xml:space="preserve">is </w:t>
      </w:r>
      <w:r>
        <w:rPr>
          <w:b/>
          <w:sz w:val="30"/>
          <w:szCs w:val="30"/>
        </w:rPr>
        <w:t xml:space="preserve">refers to the herding concept, where prices moving </w:t>
      </w:r>
      <w:r w:rsidR="00D82B57">
        <w:rPr>
          <w:b/>
          <w:sz w:val="30"/>
          <w:szCs w:val="30"/>
        </w:rPr>
        <w:t>in a given direction</w:t>
      </w:r>
      <w:r>
        <w:rPr>
          <w:b/>
          <w:sz w:val="30"/>
          <w:szCs w:val="30"/>
        </w:rPr>
        <w:t xml:space="preserve"> tend </w:t>
      </w:r>
      <w:r w:rsidR="00D82B57">
        <w:rPr>
          <w:b/>
          <w:sz w:val="30"/>
          <w:szCs w:val="30"/>
        </w:rPr>
        <w:t xml:space="preserve">to </w:t>
      </w:r>
      <w:r>
        <w:rPr>
          <w:b/>
          <w:sz w:val="30"/>
          <w:szCs w:val="30"/>
        </w:rPr>
        <w:t>continue moving in that direction.</w:t>
      </w:r>
      <w:r w:rsidR="00D82B57">
        <w:rPr>
          <w:b/>
          <w:sz w:val="30"/>
          <w:szCs w:val="30"/>
        </w:rPr>
        <w:t xml:space="preserve">  Also due to investor-bias, investor behaviour tends to exacerbate the existing trend.</w:t>
      </w:r>
    </w:p>
    <w:p w:rsidR="00D82B57" w:rsidRDefault="00D82B57" w:rsidP="00CA5BBE">
      <w:pPr>
        <w:pStyle w:val="ListParagraph"/>
        <w:rPr>
          <w:b/>
          <w:sz w:val="30"/>
          <w:szCs w:val="30"/>
        </w:rPr>
      </w:pPr>
    </w:p>
    <w:p w:rsidR="00D82B57" w:rsidRDefault="00D82B57" w:rsidP="00CA5BBE">
      <w:pPr>
        <w:pStyle w:val="ListParagraph"/>
        <w:rPr>
          <w:b/>
          <w:sz w:val="30"/>
          <w:szCs w:val="30"/>
        </w:rPr>
      </w:pPr>
      <w:r>
        <w:rPr>
          <w:b/>
          <w:sz w:val="30"/>
          <w:szCs w:val="30"/>
        </w:rPr>
        <w:t>Quality: high quality companies tend to outperform less-efficient peers.  This is due to investor-bias, where the superficial investors are attracted by the brand name and high earning reports.  However, diligent investors would investigate the underlying composition.</w:t>
      </w:r>
    </w:p>
    <w:p w:rsidR="00D57C0E" w:rsidRPr="00D57C0E" w:rsidRDefault="00D57C0E" w:rsidP="00CA5BBE">
      <w:pPr>
        <w:pStyle w:val="ListParagraph"/>
        <w:rPr>
          <w:b/>
          <w:sz w:val="30"/>
          <w:szCs w:val="30"/>
        </w:rPr>
      </w:pPr>
    </w:p>
    <w:p w:rsidR="002928FC" w:rsidRDefault="002928FC" w:rsidP="002928FC">
      <w:pPr>
        <w:pStyle w:val="ListParagraph"/>
        <w:numPr>
          <w:ilvl w:val="0"/>
          <w:numId w:val="1"/>
        </w:numPr>
        <w:spacing w:after="0"/>
      </w:pPr>
      <w:r>
        <w:t>T</w:t>
      </w:r>
      <w:r w:rsidR="00CA5BBE">
        <w:t>he yield of the 10 year US government bond</w:t>
      </w:r>
      <w:r>
        <w:t xml:space="preserve"> is 2.57. The yield of the 10Y JGB is -5 </w:t>
      </w:r>
      <w:proofErr w:type="spellStart"/>
      <w:r>
        <w:t>bp</w:t>
      </w:r>
      <w:proofErr w:type="spellEnd"/>
      <w:r>
        <w:t>. The Bund 10Y benchmark is 7 basis points over the JGB.</w:t>
      </w:r>
    </w:p>
    <w:p w:rsidR="002928FC" w:rsidRDefault="002928FC" w:rsidP="002928FC">
      <w:pPr>
        <w:pStyle w:val="ListParagraph"/>
      </w:pPr>
    </w:p>
    <w:p w:rsidR="002928FC" w:rsidRDefault="002928FC" w:rsidP="002928FC">
      <w:pPr>
        <w:pStyle w:val="ListParagraph"/>
        <w:numPr>
          <w:ilvl w:val="1"/>
          <w:numId w:val="1"/>
        </w:numPr>
        <w:spacing w:after="0"/>
      </w:pPr>
      <w:r>
        <w:t>What is a JGB?</w:t>
      </w:r>
      <w:r w:rsidR="00441626">
        <w:t xml:space="preserve"> </w:t>
      </w:r>
      <w:r w:rsidR="00441626" w:rsidRPr="00441626">
        <w:rPr>
          <w:b/>
          <w:sz w:val="30"/>
          <w:szCs w:val="30"/>
        </w:rPr>
        <w:t>Japanese Government Bond</w:t>
      </w:r>
    </w:p>
    <w:p w:rsidR="002928FC" w:rsidRDefault="002928FC" w:rsidP="002928FC">
      <w:pPr>
        <w:pStyle w:val="ListParagraph"/>
        <w:numPr>
          <w:ilvl w:val="1"/>
          <w:numId w:val="1"/>
        </w:numPr>
        <w:spacing w:after="0"/>
      </w:pPr>
      <w:r>
        <w:t>Who is the issuer of the Bund?</w:t>
      </w:r>
      <w:r w:rsidR="00441626">
        <w:t xml:space="preserve"> </w:t>
      </w:r>
      <w:r w:rsidR="00441626" w:rsidRPr="00441626">
        <w:rPr>
          <w:b/>
          <w:sz w:val="30"/>
          <w:szCs w:val="30"/>
        </w:rPr>
        <w:t>Ge</w:t>
      </w:r>
      <w:r w:rsidR="00441626">
        <w:rPr>
          <w:b/>
          <w:sz w:val="30"/>
          <w:szCs w:val="30"/>
        </w:rPr>
        <w:t>r</w:t>
      </w:r>
      <w:r w:rsidR="00441626" w:rsidRPr="00441626">
        <w:rPr>
          <w:b/>
          <w:sz w:val="30"/>
          <w:szCs w:val="30"/>
        </w:rPr>
        <w:t>many’s federal government.</w:t>
      </w:r>
    </w:p>
    <w:p w:rsidR="002928FC" w:rsidRDefault="002928FC" w:rsidP="002928FC">
      <w:pPr>
        <w:pStyle w:val="ListParagraph"/>
        <w:numPr>
          <w:ilvl w:val="1"/>
          <w:numId w:val="1"/>
        </w:numPr>
        <w:spacing w:after="0"/>
      </w:pPr>
      <w:r>
        <w:lastRenderedPageBreak/>
        <w:t xml:space="preserve">What is the spread in basis points between the US treasury benchmark and the </w:t>
      </w:r>
      <w:proofErr w:type="gramStart"/>
      <w:r>
        <w:t>JGB.</w:t>
      </w:r>
      <w:proofErr w:type="gramEnd"/>
      <w:r w:rsidR="00441626">
        <w:t xml:space="preserve"> </w:t>
      </w:r>
      <w:r w:rsidR="0017350A" w:rsidRPr="0017350A">
        <w:rPr>
          <w:b/>
          <w:sz w:val="30"/>
          <w:szCs w:val="30"/>
        </w:rPr>
        <w:t>262bps</w:t>
      </w:r>
    </w:p>
    <w:p w:rsidR="002928FC" w:rsidRDefault="002928FC" w:rsidP="002928FC">
      <w:pPr>
        <w:pStyle w:val="ListParagraph"/>
      </w:pPr>
    </w:p>
    <w:p w:rsidR="003233F3" w:rsidRDefault="00CA5BBE" w:rsidP="00CA5BBE">
      <w:pPr>
        <w:pStyle w:val="ListParagraph"/>
        <w:numPr>
          <w:ilvl w:val="0"/>
          <w:numId w:val="1"/>
        </w:numPr>
      </w:pPr>
      <w:r>
        <w:t xml:space="preserve">A portfolio of US large cap equities has long only investments </w:t>
      </w:r>
      <w:r w:rsidR="002928FC">
        <w:t>and has an annualised volatility of 5%</w:t>
      </w:r>
      <w:r>
        <w:t xml:space="preserve">. </w:t>
      </w:r>
      <w:r w:rsidR="002928FC">
        <w:t xml:space="preserve">The portfolio has daily </w:t>
      </w:r>
      <w:proofErr w:type="spellStart"/>
      <w:r>
        <w:t>PnL</w:t>
      </w:r>
      <w:proofErr w:type="spellEnd"/>
      <w:r w:rsidR="00513CE6">
        <w:t xml:space="preserve"> </w:t>
      </w:r>
      <w:r w:rsidR="002928FC">
        <w:t>in the range of + or - $500,000. What is the likely size of the portfolio in $.</w:t>
      </w:r>
    </w:p>
    <w:p w:rsidR="00CA5BBE" w:rsidRPr="003233F3" w:rsidRDefault="0017350A" w:rsidP="003233F3">
      <w:pPr>
        <w:pStyle w:val="ListParagraph"/>
        <w:rPr>
          <w:b/>
          <w:sz w:val="30"/>
          <w:szCs w:val="30"/>
        </w:rPr>
      </w:pPr>
      <w:r>
        <w:t xml:space="preserve"> </w:t>
      </w:r>
      <w:proofErr w:type="gramStart"/>
      <w:r w:rsidRPr="003233F3">
        <w:rPr>
          <w:b/>
          <w:sz w:val="30"/>
          <w:szCs w:val="30"/>
        </w:rPr>
        <w:t>Assuming 252 day count convention</w:t>
      </w:r>
      <w:r w:rsidR="003233F3" w:rsidRPr="003233F3">
        <w:rPr>
          <w:b/>
          <w:sz w:val="30"/>
          <w:szCs w:val="30"/>
        </w:rPr>
        <w:t>.</w:t>
      </w:r>
      <w:proofErr w:type="gramEnd"/>
      <w:r w:rsidR="003233F3" w:rsidRPr="003233F3">
        <w:rPr>
          <w:b/>
          <w:sz w:val="30"/>
          <w:szCs w:val="30"/>
        </w:rPr>
        <w:t xml:space="preserve"> The daily volatility would be:</w:t>
      </w:r>
    </w:p>
    <w:p w:rsidR="003233F3" w:rsidRPr="003233F3" w:rsidRDefault="003233F3" w:rsidP="003233F3">
      <w:pPr>
        <w:pStyle w:val="ListParagraph"/>
        <w:jc w:val="center"/>
        <w:rPr>
          <w:rFonts w:eastAsiaTheme="minorEastAsia"/>
          <w:b/>
          <w:sz w:val="30"/>
          <w:szCs w:val="30"/>
        </w:rPr>
      </w:pPr>
      <m:oMathPara>
        <m:oMath>
          <m:r>
            <m:rPr>
              <m:sty m:val="bi"/>
            </m:rPr>
            <w:rPr>
              <w:rFonts w:ascii="Cambria Math" w:hAnsi="Cambria Math"/>
              <w:sz w:val="30"/>
              <w:szCs w:val="30"/>
            </w:rPr>
            <m:t>daily vol=0.05×</m:t>
          </m:r>
          <m:rad>
            <m:radPr>
              <m:degHide m:val="on"/>
              <m:ctrlPr>
                <w:rPr>
                  <w:rFonts w:ascii="Cambria Math" w:hAnsi="Cambria Math"/>
                  <w:b/>
                  <w:i/>
                  <w:sz w:val="30"/>
                  <w:szCs w:val="30"/>
                </w:rPr>
              </m:ctrlPr>
            </m:radPr>
            <m:deg/>
            <m:e>
              <m:f>
                <m:fPr>
                  <m:ctrlPr>
                    <w:rPr>
                      <w:rFonts w:ascii="Cambria Math" w:hAnsi="Cambria Math"/>
                      <w:b/>
                      <w:i/>
                      <w:sz w:val="30"/>
                      <w:szCs w:val="30"/>
                    </w:rPr>
                  </m:ctrlPr>
                </m:fPr>
                <m:num>
                  <m:r>
                    <m:rPr>
                      <m:sty m:val="bi"/>
                    </m:rPr>
                    <w:rPr>
                      <w:rFonts w:ascii="Cambria Math" w:hAnsi="Cambria Math"/>
                      <w:sz w:val="30"/>
                      <w:szCs w:val="30"/>
                    </w:rPr>
                    <m:t>1</m:t>
                  </m:r>
                </m:num>
                <m:den>
                  <m:r>
                    <m:rPr>
                      <m:sty m:val="bi"/>
                    </m:rPr>
                    <w:rPr>
                      <w:rFonts w:ascii="Cambria Math" w:hAnsi="Cambria Math"/>
                      <w:sz w:val="30"/>
                      <w:szCs w:val="30"/>
                    </w:rPr>
                    <m:t>252</m:t>
                  </m:r>
                </m:den>
              </m:f>
            </m:e>
          </m:rad>
        </m:oMath>
      </m:oMathPara>
    </w:p>
    <w:p w:rsidR="003233F3" w:rsidRPr="003233F3" w:rsidRDefault="003233F3" w:rsidP="003233F3">
      <w:pPr>
        <w:pStyle w:val="ListParagraph"/>
        <w:jc w:val="center"/>
        <w:rPr>
          <w:rFonts w:eastAsiaTheme="minorEastAsia"/>
          <w:b/>
          <w:sz w:val="30"/>
          <w:szCs w:val="30"/>
        </w:rPr>
      </w:pPr>
    </w:p>
    <w:p w:rsidR="002928FC" w:rsidRPr="003233F3" w:rsidRDefault="003233F3" w:rsidP="002928FC">
      <w:pPr>
        <w:pStyle w:val="ListParagraph"/>
        <w:rPr>
          <w:b/>
          <w:sz w:val="30"/>
          <w:szCs w:val="30"/>
        </w:rPr>
      </w:pPr>
      <w:r w:rsidRPr="003233F3">
        <w:rPr>
          <w:b/>
          <w:sz w:val="30"/>
          <w:szCs w:val="30"/>
        </w:rPr>
        <w:t>Therefore the portfolio size (P) is:</w:t>
      </w:r>
    </w:p>
    <w:p w:rsidR="003233F3" w:rsidRPr="003233F3" w:rsidRDefault="003233F3" w:rsidP="003233F3">
      <w:pPr>
        <w:pStyle w:val="ListParagraph"/>
        <w:jc w:val="center"/>
        <w:rPr>
          <w:rFonts w:eastAsiaTheme="minorEastAsia"/>
          <w:b/>
        </w:rPr>
      </w:pPr>
      <m:oMathPara>
        <m:oMath>
          <m:r>
            <m:rPr>
              <m:sty m:val="bi"/>
            </m:rPr>
            <w:rPr>
              <w:rFonts w:ascii="Cambria Math" w:hAnsi="Cambria Math"/>
              <w:sz w:val="30"/>
              <w:szCs w:val="30"/>
            </w:rPr>
            <m:t>P=</m:t>
          </m:r>
          <m:f>
            <m:fPr>
              <m:ctrlPr>
                <w:rPr>
                  <w:rFonts w:ascii="Cambria Math" w:hAnsi="Cambria Math"/>
                  <w:b/>
                  <w:i/>
                  <w:sz w:val="30"/>
                  <w:szCs w:val="30"/>
                </w:rPr>
              </m:ctrlPr>
            </m:fPr>
            <m:num>
              <m:r>
                <m:rPr>
                  <m:sty m:val="bi"/>
                </m:rPr>
                <w:rPr>
                  <w:rFonts w:ascii="Cambria Math" w:hAnsi="Cambria Math"/>
                  <w:sz w:val="30"/>
                  <w:szCs w:val="30"/>
                </w:rPr>
                <m:t>500,000</m:t>
              </m:r>
            </m:num>
            <m:den>
              <m:r>
                <m:rPr>
                  <m:sty m:val="bi"/>
                </m:rPr>
                <w:rPr>
                  <w:rFonts w:ascii="Cambria Math" w:hAnsi="Cambria Math"/>
                  <w:sz w:val="30"/>
                  <w:szCs w:val="30"/>
                </w:rPr>
                <m:t>daily vol</m:t>
              </m:r>
            </m:den>
          </m:f>
          <m:r>
            <m:rPr>
              <m:sty m:val="bi"/>
            </m:rPr>
            <w:rPr>
              <w:rFonts w:ascii="Cambria Math" w:hAnsi="Cambria Math"/>
              <w:sz w:val="30"/>
              <w:szCs w:val="30"/>
            </w:rPr>
            <m:t>=$158.75 million</m:t>
          </m:r>
        </m:oMath>
      </m:oMathPara>
    </w:p>
    <w:p w:rsidR="00D57C0E" w:rsidRDefault="00D57C0E" w:rsidP="00D57C0E"/>
    <w:p w:rsidR="003233F3" w:rsidRDefault="002928FC" w:rsidP="00CA5BBE">
      <w:pPr>
        <w:pStyle w:val="ListParagraph"/>
        <w:numPr>
          <w:ilvl w:val="0"/>
          <w:numId w:val="1"/>
        </w:numPr>
      </w:pPr>
      <w:r>
        <w:t xml:space="preserve">A portfolio has a parametric </w:t>
      </w:r>
      <w:proofErr w:type="spellStart"/>
      <w:r>
        <w:t>VaR</w:t>
      </w:r>
      <w:proofErr w:type="spellEnd"/>
      <w:r>
        <w:t xml:space="preserve"> (95%, 1-day) of $500,000. What does 95%</w:t>
      </w:r>
      <w:r w:rsidR="00D44305">
        <w:t xml:space="preserve"> mean? What assumption has been made in this?</w:t>
      </w:r>
      <w:r w:rsidR="003233F3">
        <w:t xml:space="preserve"> </w:t>
      </w:r>
    </w:p>
    <w:p w:rsidR="002928FC" w:rsidRDefault="003233F3" w:rsidP="003233F3">
      <w:pPr>
        <w:pStyle w:val="ListParagraph"/>
      </w:pPr>
      <w:r w:rsidRPr="003233F3">
        <w:rPr>
          <w:b/>
          <w:sz w:val="30"/>
          <w:szCs w:val="30"/>
        </w:rPr>
        <w:t xml:space="preserve">95% is the confidence interval.  The main assumption of </w:t>
      </w:r>
      <w:r w:rsidR="00B54101" w:rsidRPr="003233F3">
        <w:rPr>
          <w:b/>
          <w:sz w:val="30"/>
          <w:szCs w:val="30"/>
        </w:rPr>
        <w:t>parametric</w:t>
      </w:r>
      <w:r w:rsidRPr="003233F3">
        <w:rPr>
          <w:b/>
          <w:sz w:val="30"/>
          <w:szCs w:val="30"/>
        </w:rPr>
        <w:t xml:space="preserve"> </w:t>
      </w:r>
      <w:proofErr w:type="spellStart"/>
      <w:r w:rsidRPr="003233F3">
        <w:rPr>
          <w:b/>
          <w:sz w:val="30"/>
          <w:szCs w:val="30"/>
        </w:rPr>
        <w:t>VaR</w:t>
      </w:r>
      <w:proofErr w:type="spellEnd"/>
      <w:r w:rsidRPr="003233F3">
        <w:rPr>
          <w:b/>
          <w:sz w:val="30"/>
          <w:szCs w:val="30"/>
        </w:rPr>
        <w:t xml:space="preserve"> is that the portfolio returns are normally distributed.</w:t>
      </w:r>
    </w:p>
    <w:p w:rsidR="00D44305" w:rsidRDefault="00D44305" w:rsidP="00D44305">
      <w:pPr>
        <w:pStyle w:val="ListParagraph"/>
      </w:pPr>
    </w:p>
    <w:p w:rsidR="002928FC" w:rsidRDefault="00D44305" w:rsidP="00D44305">
      <w:pPr>
        <w:pStyle w:val="ListParagraph"/>
        <w:numPr>
          <w:ilvl w:val="0"/>
          <w:numId w:val="1"/>
        </w:numPr>
      </w:pPr>
      <w:r>
        <w:t>Which of the following currencies trade as NDFs:</w:t>
      </w:r>
    </w:p>
    <w:p w:rsidR="00D44305" w:rsidRDefault="00D44305" w:rsidP="00D44305">
      <w:pPr>
        <w:pStyle w:val="ListParagraph"/>
      </w:pPr>
    </w:p>
    <w:p w:rsidR="00D44305" w:rsidRDefault="00D44305" w:rsidP="00D44305">
      <w:pPr>
        <w:pStyle w:val="ListParagraph"/>
        <w:numPr>
          <w:ilvl w:val="1"/>
          <w:numId w:val="1"/>
        </w:numPr>
      </w:pPr>
      <w:r>
        <w:t>GBP, MYR, EUR, JPY, THB</w:t>
      </w:r>
    </w:p>
    <w:p w:rsidR="00D44305" w:rsidRPr="003233F3" w:rsidRDefault="003233F3" w:rsidP="00E45DB7">
      <w:pPr>
        <w:ind w:firstLine="720"/>
        <w:rPr>
          <w:b/>
          <w:sz w:val="30"/>
          <w:szCs w:val="30"/>
        </w:rPr>
      </w:pPr>
      <w:bookmarkStart w:id="0" w:name="_GoBack"/>
      <w:bookmarkEnd w:id="0"/>
      <w:proofErr w:type="gramStart"/>
      <w:r w:rsidRPr="003233F3">
        <w:rPr>
          <w:b/>
          <w:sz w:val="30"/>
          <w:szCs w:val="30"/>
        </w:rPr>
        <w:t>Only MYR (Malaysian ringgit).</w:t>
      </w:r>
      <w:proofErr w:type="gramEnd"/>
    </w:p>
    <w:sectPr w:rsidR="00D44305" w:rsidRPr="003233F3" w:rsidSect="008846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0517C"/>
    <w:multiLevelType w:val="hybridMultilevel"/>
    <w:tmpl w:val="6EECDD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proofState w:spelling="clean" w:grammar="clean"/>
  <w:defaultTabStop w:val="720"/>
  <w:characterSpacingControl w:val="doNotCompress"/>
  <w:compat/>
  <w:rsids>
    <w:rsidRoot w:val="00CA5BBE"/>
    <w:rsid w:val="0017350A"/>
    <w:rsid w:val="0025265F"/>
    <w:rsid w:val="002928FC"/>
    <w:rsid w:val="003233F3"/>
    <w:rsid w:val="00441626"/>
    <w:rsid w:val="00513CE6"/>
    <w:rsid w:val="00520415"/>
    <w:rsid w:val="008846D0"/>
    <w:rsid w:val="009B6D06"/>
    <w:rsid w:val="009D7CD6"/>
    <w:rsid w:val="00B421C8"/>
    <w:rsid w:val="00B54101"/>
    <w:rsid w:val="00CA5BBE"/>
    <w:rsid w:val="00D44305"/>
    <w:rsid w:val="00D57C0E"/>
    <w:rsid w:val="00D82B57"/>
    <w:rsid w:val="00E45DB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6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BE"/>
    <w:pPr>
      <w:ind w:left="720"/>
      <w:contextualSpacing/>
    </w:pPr>
  </w:style>
  <w:style w:type="character" w:styleId="Hyperlink">
    <w:name w:val="Hyperlink"/>
    <w:basedOn w:val="DefaultParagraphFont"/>
    <w:uiPriority w:val="99"/>
    <w:unhideWhenUsed/>
    <w:rsid w:val="00441626"/>
    <w:rPr>
      <w:color w:val="0000FF" w:themeColor="hyperlink"/>
      <w:u w:val="single"/>
    </w:rPr>
  </w:style>
  <w:style w:type="character" w:styleId="PlaceholderText">
    <w:name w:val="Placeholder Text"/>
    <w:basedOn w:val="DefaultParagraphFont"/>
    <w:uiPriority w:val="99"/>
    <w:semiHidden/>
    <w:rsid w:val="003233F3"/>
    <w:rPr>
      <w:color w:val="808080"/>
    </w:rPr>
  </w:style>
  <w:style w:type="paragraph" w:styleId="BalloonText">
    <w:name w:val="Balloon Text"/>
    <w:basedOn w:val="Normal"/>
    <w:link w:val="BalloonTextChar"/>
    <w:uiPriority w:val="99"/>
    <w:semiHidden/>
    <w:unhideWhenUsed/>
    <w:rsid w:val="00323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3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B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HorizonLLP</Company>
  <LinksUpToDate>false</LinksUpToDate>
  <CharactersWithSpaces>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Ko</dc:creator>
  <cp:lastModifiedBy>Hashir SSD</cp:lastModifiedBy>
  <cp:revision>10</cp:revision>
  <dcterms:created xsi:type="dcterms:W3CDTF">2019-04-22T12:13:00Z</dcterms:created>
  <dcterms:modified xsi:type="dcterms:W3CDTF">2019-04-29T16:26:00Z</dcterms:modified>
</cp:coreProperties>
</file>