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4F6" w:rsidRDefault="00250D6F">
      <w:pPr>
        <w:pStyle w:val="Title"/>
        <w:jc w:val="center"/>
      </w:pPr>
      <w:r>
        <w:t>Preliminary Report: Financial Analysis and Risk Assessment of Green Solutions Manufacturing Ltd.</w:t>
      </w:r>
    </w:p>
    <w:p w:rsidR="00FE54F6" w:rsidRDefault="00250D6F">
      <w:pPr>
        <w:pStyle w:val="Heading1"/>
      </w:pPr>
      <w:r>
        <w:t>Executive Summary</w:t>
      </w:r>
    </w:p>
    <w:p w:rsidR="00FE54F6" w:rsidRDefault="00250D6F">
      <w:r>
        <w:t xml:space="preserve">Green Solutions Manufacturing Ltd. has demonstrated an exceptional growth trajectory over the 2023 fiscal year. The company successfully </w:t>
      </w:r>
      <w:r>
        <w:t xml:space="preserve">expanded its top-line revenue by 70.7% while simultaneously executing a significant de-leveraging strategy, reducing its leverage metric from 7.82x to 1.24x. While the company is currently in a heavy investment phase </w:t>
      </w:r>
      <w:r>
        <w:t xml:space="preserve">resulting in negative free cash flow </w:t>
      </w:r>
      <w:r>
        <w:t>th</w:t>
      </w:r>
      <w:r>
        <w:t>e robust increase in operating cash flow and high interest coverage suggest a strong underlying credit profile.</w:t>
      </w:r>
    </w:p>
    <w:p w:rsidR="00FE54F6" w:rsidRDefault="00250D6F">
      <w:pPr>
        <w:pStyle w:val="Heading1"/>
      </w:pPr>
      <w:r>
        <w:t>Financial Analysis</w:t>
      </w:r>
    </w:p>
    <w:p w:rsidR="00FE54F6" w:rsidRDefault="00250D6F">
      <w:pPr>
        <w:pStyle w:val="Heading2"/>
      </w:pPr>
      <w:r>
        <w:t>Revenue and Profitability</w:t>
      </w:r>
    </w:p>
    <w:p w:rsidR="00FE54F6" w:rsidRDefault="00250D6F">
      <w:r>
        <w:t>• Revenue Growth: Revenue increased from £31.54M in 2022 to £53.82M in 2023, representing a 70.7% y</w:t>
      </w:r>
      <w:r>
        <w:t>ear-on-year growth.</w:t>
      </w:r>
      <w:r>
        <w:br/>
        <w:t>• Profitability: Net Profit After Tax experienced a stellar increase, rising from £0.86M to £5.64M.</w:t>
      </w:r>
      <w:r>
        <w:br/>
        <w:t>• Efficiency: The EBITDA Margin improved from 4.74% to 10.26%, indicating successful operational scaling.</w:t>
      </w:r>
    </w:p>
    <w:p w:rsidR="00FE54F6" w:rsidRDefault="00250D6F">
      <w:pPr>
        <w:pStyle w:val="Heading2"/>
      </w:pPr>
      <w:r>
        <w:t>Assets and Liabilities</w:t>
      </w:r>
    </w:p>
    <w:p w:rsidR="00FE54F6" w:rsidRDefault="00250D6F">
      <w:r>
        <w:t>• Asset</w:t>
      </w:r>
      <w:r>
        <w:t xml:space="preserve"> Base: Total assets grew to £62.13M, supported by a high tangible asset ratio.</w:t>
      </w:r>
      <w:r>
        <w:br/>
        <w:t>• Tangible Strength: Tangible Net Worth (TNW) increased from £23.21M to £31.13M.</w:t>
      </w:r>
      <w:r>
        <w:br/>
        <w:t>• Liability Management: Modest liability growth was heavily outpaced by equity expansion, improv</w:t>
      </w:r>
      <w:r>
        <w:t>ing the solvency cushion.</w:t>
      </w:r>
    </w:p>
    <w:p w:rsidR="00FE54F6" w:rsidRDefault="00250D6F">
      <w:pPr>
        <w:pStyle w:val="Heading2"/>
      </w:pPr>
      <w:r>
        <w:t>Cash Flow</w:t>
      </w:r>
    </w:p>
    <w:p w:rsidR="00FE54F6" w:rsidRDefault="00250D6F">
      <w:r>
        <w:t>• Operating Cash Flow: Net cash from operating activities nearly doubled to £11.45M.</w:t>
      </w:r>
      <w:r>
        <w:br/>
        <w:t>• Investing Activities: Capital Expenditure (CAPEX) ramped up to £8.01M to sustain future growth.</w:t>
      </w:r>
      <w:r>
        <w:br/>
        <w:t>• Free Cash Flow: Remained negative a</w:t>
      </w:r>
      <w:r>
        <w:t>t £-8.00M due to the aggressive reinvestment cycle.</w:t>
      </w:r>
    </w:p>
    <w:p w:rsidR="00FE54F6" w:rsidRDefault="00250D6F">
      <w:pPr>
        <w:pStyle w:val="Heading1"/>
      </w:pPr>
      <w:r>
        <w:lastRenderedPageBreak/>
        <w:t>Key Financial Ratios</w:t>
      </w:r>
    </w:p>
    <w:p w:rsidR="00FE54F6" w:rsidRDefault="00250D6F">
      <w:pPr>
        <w:pStyle w:val="Heading2"/>
      </w:pPr>
      <w:r>
        <w:t>Profitability Ratios</w:t>
      </w:r>
    </w:p>
    <w:p w:rsidR="00FE54F6" w:rsidRDefault="00250D6F">
      <w:r>
        <w:t>• Operating Margin: Increased from 6.32% to 12.12%.</w:t>
      </w:r>
      <w:r>
        <w:br/>
        <w:t>• EBITDA Margin: Significant improvement to 10.26%, doubling year-over-year.</w:t>
      </w:r>
    </w:p>
    <w:p w:rsidR="00FE54F6" w:rsidRDefault="00250D6F">
      <w:pPr>
        <w:pStyle w:val="Heading2"/>
      </w:pPr>
      <w:r>
        <w:t>Leverage and Liquidity Ratios</w:t>
      </w:r>
    </w:p>
    <w:p w:rsidR="00FE54F6" w:rsidRDefault="00250D6F">
      <w:r>
        <w:t>• L</w:t>
      </w:r>
      <w:r>
        <w:t>everage Metric: Drastic de-leveraging from 7.82x to 1.24x.</w:t>
      </w:r>
      <w:r>
        <w:br/>
        <w:t>• Interest Cover: Robust EBITDA Net Interest Cover of 17.53x.</w:t>
      </w:r>
      <w:r>
        <w:br/>
        <w:t>• Current Ratio: Declined from 1.88x to 1.38x, but remains above the 1.0x benchmark.</w:t>
      </w:r>
    </w:p>
    <w:p w:rsidR="00FE54F6" w:rsidRDefault="00250D6F">
      <w:pPr>
        <w:pStyle w:val="Heading1"/>
      </w:pPr>
      <w:r>
        <w:t>Risk Assessment</w:t>
      </w:r>
    </w:p>
    <w:p w:rsidR="00FE54F6" w:rsidRDefault="00250D6F">
      <w:pPr>
        <w:pStyle w:val="Heading2"/>
      </w:pPr>
      <w:r>
        <w:t>Key Financial Risks</w:t>
      </w:r>
    </w:p>
    <w:p w:rsidR="00FE54F6" w:rsidRDefault="00250D6F">
      <w:r>
        <w:t>• Negative Fre</w:t>
      </w:r>
      <w:r>
        <w:t>e Cash Flow: Heavy reinvestment cycle creates reliance on existing cash reserves.</w:t>
      </w:r>
      <w:r>
        <w:br/>
        <w:t>• Inventory Management: 40% growth in inventory requires close monitoring to avoid obsolescence.</w:t>
      </w:r>
    </w:p>
    <w:p w:rsidR="00FE54F6" w:rsidRDefault="00250D6F">
      <w:pPr>
        <w:pStyle w:val="Heading1"/>
      </w:pPr>
      <w:r>
        <w:t>Actionable Insights</w:t>
      </w:r>
    </w:p>
    <w:p w:rsidR="00FE54F6" w:rsidRDefault="00250D6F">
      <w:r>
        <w:t>1. Monitor CAPEX returns to ensure long-term profitabilit</w:t>
      </w:r>
      <w:r>
        <w:t>y.</w:t>
      </w:r>
      <w:r>
        <w:br/>
        <w:t>2. Optimize working capital by reviewing inventory turnover.</w:t>
      </w:r>
      <w:r>
        <w:br/>
        <w:t>3. Consider credit facility enhancements given the strong de-leveraging trend.</w:t>
      </w:r>
    </w:p>
    <w:p w:rsidR="00FE54F6" w:rsidRDefault="00250D6F">
      <w:pPr>
        <w:pStyle w:val="Heading1"/>
      </w:pPr>
      <w:r>
        <w:t>Conclusion</w:t>
      </w:r>
    </w:p>
    <w:p w:rsidR="00FE54F6" w:rsidRDefault="00250D6F">
      <w:r>
        <w:t xml:space="preserve">Green Solutions Manufacturing Ltd. presents a strong credit profile. The transition to a conservative </w:t>
      </w:r>
      <w:r>
        <w:t>leverage position and exponential profit growth offsets the temporary negative free cash flow associated with their expansion.</w:t>
      </w:r>
    </w:p>
    <w:p w:rsidR="00FE54F6" w:rsidRDefault="00250D6F">
      <w:r>
        <w:br/>
      </w:r>
      <w:r>
        <w:br/>
      </w:r>
    </w:p>
    <w:p w:rsidR="00FE54F6" w:rsidRDefault="00250D6F">
      <w:r>
        <w:t>Prepared by: Ajwa Hashmi</w:t>
      </w:r>
      <w:r>
        <w:br/>
        <w:t>Position: Credit Analyst</w:t>
      </w:r>
      <w:r>
        <w:br/>
        <w:t>Standard Chartered Bank</w:t>
      </w:r>
      <w:r>
        <w:br/>
        <w:t>Date: 26th July’24</w:t>
      </w:r>
      <w:bookmarkStart w:id="0" w:name="_GoBack"/>
      <w:bookmarkEnd w:id="0"/>
    </w:p>
    <w:sectPr w:rsidR="00FE54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0D6F"/>
    <w:rsid w:val="0029639D"/>
    <w:rsid w:val="00326F90"/>
    <w:rsid w:val="00AA1D8D"/>
    <w:rsid w:val="00B47730"/>
    <w:rsid w:val="00CB0664"/>
    <w:rsid w:val="00FC693F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92A6"/>
  <w14:defaultImageDpi w14:val="300"/>
  <w15:docId w15:val="{EC2DE714-0091-4DFA-B50C-15C152D7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30ABA8-84A4-4359-B176-79D1BAB20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Ajwa Hashmi</cp:lastModifiedBy>
  <cp:revision>2</cp:revision>
  <dcterms:created xsi:type="dcterms:W3CDTF">2026-03-27T07:13:00Z</dcterms:created>
  <dcterms:modified xsi:type="dcterms:W3CDTF">2026-03-27T07:13:00Z</dcterms:modified>
  <cp:category/>
</cp:coreProperties>
</file>