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mdi3tff61e6" w:id="0"/>
      <w:bookmarkEnd w:id="0"/>
      <w:r w:rsidDel="00000000" w:rsidR="00000000" w:rsidRPr="00000000">
        <w:rPr>
          <w:b w:val="1"/>
          <w:sz w:val="34"/>
          <w:szCs w:val="34"/>
          <w:rtl w:val="0"/>
        </w:rPr>
        <w:t xml:space="preserve">Data Governance Plan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ybltgr6t554" w:id="1"/>
      <w:bookmarkEnd w:id="1"/>
      <w:r w:rsidDel="00000000" w:rsidR="00000000" w:rsidRPr="00000000">
        <w:rPr>
          <w:b w:val="1"/>
          <w:color w:val="000000"/>
          <w:sz w:val="26"/>
          <w:szCs w:val="26"/>
          <w:rtl w:val="0"/>
        </w:rPr>
        <w:t xml:space="preserve">1. Objective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To ensure the accuracy, consistency, and reliability of trade and P2P transaction data across multiple data sources, enabling trusted insights into user behaviors (e.g., conversion from P2P to trade). This plan establishes clear ownership, quality control, lineage tracking, and access management across the data pipeline — from raw to analytics layers.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irjyu3olyc8" w:id="2"/>
      <w:bookmarkEnd w:id="2"/>
      <w:r w:rsidDel="00000000" w:rsidR="00000000" w:rsidRPr="00000000">
        <w:rPr>
          <w:b w:val="1"/>
          <w:color w:val="000000"/>
          <w:sz w:val="26"/>
          <w:szCs w:val="26"/>
          <w:rtl w:val="0"/>
        </w:rPr>
        <w:t xml:space="preserve">2. Governance Scope</w:t>
      </w:r>
    </w:p>
    <w:p w:rsidR="00000000" w:rsidDel="00000000" w:rsidP="00000000" w:rsidRDefault="00000000" w:rsidRPr="00000000" w14:paraId="00000006">
      <w:pPr>
        <w:spacing w:after="240" w:before="240" w:lineRule="auto"/>
        <w:rPr/>
      </w:pPr>
      <w:r w:rsidDel="00000000" w:rsidR="00000000" w:rsidRPr="00000000">
        <w:rPr>
          <w:rtl w:val="0"/>
        </w:rPr>
        <w:t xml:space="preserve">Covers all processes and datasets in the pipeline: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Raw Layer</w:t>
      </w:r>
      <w:r w:rsidDel="00000000" w:rsidR="00000000" w:rsidRPr="00000000">
        <w:rPr>
          <w:rtl w:val="0"/>
        </w:rPr>
        <w:t xml:space="preserve">: Direct ingestion from multiple CSVs / source schemas.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Staging Layer</w:t>
      </w:r>
      <w:r w:rsidDel="00000000" w:rsidR="00000000" w:rsidRPr="00000000">
        <w:rPr>
          <w:rFonts w:ascii="Arial Unicode MS" w:cs="Arial Unicode MS" w:eastAsia="Arial Unicode MS" w:hAnsi="Arial Unicode MS"/>
          <w:rtl w:val="0"/>
        </w:rPr>
        <w:t xml:space="preserve">: Standardization, deduplication, and timezone conversion (UTC → UTC+7 Jakarta).</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Data Warehouse Layer</w:t>
      </w:r>
      <w:r w:rsidDel="00000000" w:rsidR="00000000" w:rsidRPr="00000000">
        <w:rPr>
          <w:rtl w:val="0"/>
        </w:rPr>
        <w:t xml:space="preserve">: Integration of trade, user, and P2P tables for analysis and dashboards.</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Analytics Layer</w:t>
      </w:r>
      <w:r w:rsidDel="00000000" w:rsidR="00000000" w:rsidRPr="00000000">
        <w:rPr>
          <w:rtl w:val="0"/>
        </w:rPr>
        <w:t xml:space="preserve">: Business-ready datasets for metrics like active traders, trade volume, and conversion rates.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qujnluyhfrl" w:id="3"/>
      <w:bookmarkEnd w:id="3"/>
      <w:r w:rsidDel="00000000" w:rsidR="00000000" w:rsidRPr="00000000">
        <w:rPr>
          <w:b w:val="1"/>
          <w:color w:val="000000"/>
          <w:sz w:val="26"/>
          <w:szCs w:val="26"/>
          <w:rtl w:val="0"/>
        </w:rPr>
        <w:t xml:space="preserve">3. Roles &amp; Responsibilities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6458443620963"/>
        <w:gridCol w:w="7779.354155637903"/>
        <w:tblGridChange w:id="0">
          <w:tblGrid>
            <w:gridCol w:w="1580.6458443620963"/>
            <w:gridCol w:w="7779.35415563790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Data 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Accountable for source data integrity and business rules (e.g., Operations or Product team).</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Data Steward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Ensures data quality checks, manages dictionary &amp; metadata, oversees anomaly resolution.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Data Engineer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Builds ETL pipelines, maintains schema consistency, and enforces transformations.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Data Analyst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Consumes curated data for insight generation, validates business metrics, and reports anomalies.</w:t>
            </w:r>
          </w:p>
        </w:tc>
      </w:tr>
    </w:tbl>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iszruwe2ts5" w:id="4"/>
      <w:bookmarkEnd w:id="4"/>
      <w:r w:rsidDel="00000000" w:rsidR="00000000" w:rsidRPr="00000000">
        <w:rPr>
          <w:b w:val="1"/>
          <w:color w:val="000000"/>
          <w:sz w:val="26"/>
          <w:szCs w:val="26"/>
          <w:rtl w:val="0"/>
        </w:rPr>
        <w:t xml:space="preserve">4. Data Quality Framework</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3.9469578783153"/>
        <w:gridCol w:w="4502.340093603744"/>
        <w:gridCol w:w="2983.7129485179407"/>
        <w:tblGridChange w:id="0">
          <w:tblGrid>
            <w:gridCol w:w="1873.9469578783153"/>
            <w:gridCol w:w="4502.340093603744"/>
            <w:gridCol w:w="2983.7129485179407"/>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Quality Dimension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Validation Example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Action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trade_value &gt; 0</w:t>
            </w:r>
            <w:r w:rsidDel="00000000" w:rsidR="00000000" w:rsidRPr="00000000">
              <w:rPr>
                <w:rtl w:val="0"/>
              </w:rPr>
              <w:t xml:space="preserve"> and IDs exist in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Reject invalid records.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Completeness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Check for missing </w:t>
            </w:r>
            <w:r w:rsidDel="00000000" w:rsidR="00000000" w:rsidRPr="00000000">
              <w:rPr>
                <w:rFonts w:ascii="Roboto Mono" w:cs="Roboto Mono" w:eastAsia="Roboto Mono" w:hAnsi="Roboto Mono"/>
                <w:color w:val="188038"/>
                <w:rtl w:val="0"/>
              </w:rPr>
              <w:t xml:space="preserve">receiver_id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sender_id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token_id</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Fill or flag as NULL.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Uniqueness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Detects and removes duplicate trades (e.g., </w:t>
            </w:r>
            <w:r w:rsidDel="00000000" w:rsidR="00000000" w:rsidRPr="00000000">
              <w:rPr>
                <w:rFonts w:ascii="Roboto Mono" w:cs="Roboto Mono" w:eastAsia="Roboto Mono" w:hAnsi="Roboto Mono"/>
                <w:color w:val="188038"/>
                <w:rtl w:val="0"/>
              </w:rPr>
              <w:t xml:space="preserve">trade_id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transfer_id</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Deduplication logic in staging.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Timeliness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Apply UTC → UTC+7 timezone conversion.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Consistent timestamps for dashboard use.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Consistency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Align schema formats (string, numeric) across source schemas.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Standardize datatypes in staging.</w:t>
            </w:r>
          </w:p>
        </w:tc>
      </w:tr>
    </w:tbl>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je5blweku52p" w:id="5"/>
      <w:bookmarkEnd w:id="5"/>
      <w:r w:rsidDel="00000000" w:rsidR="00000000" w:rsidRPr="00000000">
        <w:rPr>
          <w:b w:val="1"/>
          <w:color w:val="000000"/>
          <w:sz w:val="26"/>
          <w:szCs w:val="26"/>
          <w:rtl w:val="0"/>
        </w:rPr>
        <w:t xml:space="preserve">5. Metadata &amp; Data Lineage</w:t>
      </w:r>
    </w:p>
    <w:p w:rsidR="00000000" w:rsidDel="00000000" w:rsidP="00000000" w:rsidRDefault="00000000" w:rsidRPr="00000000" w14:paraId="0000002D">
      <w:pPr>
        <w:spacing w:after="240" w:before="240" w:lineRule="auto"/>
        <w:rPr/>
      </w:pPr>
      <w:r w:rsidDel="00000000" w:rsidR="00000000" w:rsidRPr="00000000">
        <w:rPr>
          <w:rtl w:val="0"/>
        </w:rPr>
        <w:t xml:space="preserve">Each dataset must include metadata fields like:</w:t>
      </w:r>
    </w:p>
    <w:p w:rsidR="00000000" w:rsidDel="00000000" w:rsidP="00000000" w:rsidRDefault="00000000" w:rsidRPr="00000000" w14:paraId="0000002E">
      <w:pPr>
        <w:numPr>
          <w:ilvl w:val="0"/>
          <w:numId w:val="1"/>
        </w:numPr>
        <w:spacing w:after="240" w:before="240" w:lineRule="auto"/>
        <w:ind w:left="720" w:hanging="360"/>
      </w:pPr>
      <w:r w:rsidDel="00000000" w:rsidR="00000000" w:rsidRPr="00000000">
        <w:rPr>
          <w:rFonts w:ascii="Roboto Mono" w:cs="Roboto Mono" w:eastAsia="Roboto Mono" w:hAnsi="Roboto Mono"/>
          <w:color w:val="188038"/>
          <w:rtl w:val="0"/>
        </w:rPr>
        <w:t xml:space="preserve">source_system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extraction_time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last_updated_by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record_count</w:t>
      </w:r>
      <w:r w:rsidDel="00000000" w:rsidR="00000000" w:rsidRPr="00000000">
        <w:rPr>
          <w:rtl w:val="0"/>
        </w:rPr>
        <w:t xml:space="preserve">.</w:t>
        <w:br w:type="textWrapping"/>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Data Lineage Example (simplified):</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Source: p2p_transfers.csv, trades.csv</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RAW Schema: raw_p2p_transfers, raw_trades</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STAGING Schema: stg_p2p_transfers, stg_trades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(deduplication, timezone conversion, data type standardization)</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WAREHOUSE Schema: datawarehouse_layer</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(joins trades + p2p to derive conversion and engagement KPIs)</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DASHBOARD Layer: user_behavior_dashboard</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(conversion rate, avg trade value, P2P frequency)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xfi7vymkllu3" w:id="6"/>
      <w:bookmarkEnd w:id="6"/>
      <w:r w:rsidDel="00000000" w:rsidR="00000000" w:rsidRPr="00000000">
        <w:rPr>
          <w:b w:val="1"/>
          <w:color w:val="000000"/>
          <w:sz w:val="26"/>
          <w:szCs w:val="26"/>
          <w:rtl w:val="0"/>
        </w:rPr>
        <w:t xml:space="preserve">6. Scalability &amp; Maintenance</w:t>
      </w:r>
    </w:p>
    <w:p w:rsidR="00000000" w:rsidDel="00000000" w:rsidP="00000000" w:rsidRDefault="00000000" w:rsidRPr="00000000" w14:paraId="0000003F">
      <w:pPr>
        <w:spacing w:after="240" w:before="240" w:lineRule="auto"/>
        <w:rPr/>
      </w:pPr>
      <w:r w:rsidDel="00000000" w:rsidR="00000000" w:rsidRPr="00000000">
        <w:rPr>
          <w:rtl w:val="0"/>
        </w:rPr>
        <w:t xml:space="preserve">To ensure scalability:</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Modular schema design</w:t>
      </w:r>
      <w:r w:rsidDel="00000000" w:rsidR="00000000" w:rsidRPr="00000000">
        <w:rPr>
          <w:rtl w:val="0"/>
        </w:rPr>
        <w:t xml:space="preserve">: Separate schema for raw, staging, and warehouse layers.</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Incremental load pipelines</w:t>
      </w:r>
      <w:r w:rsidDel="00000000" w:rsidR="00000000" w:rsidRPr="00000000">
        <w:rPr>
          <w:rtl w:val="0"/>
        </w:rPr>
        <w:t xml:space="preserve">: Only process delta changes to reduce computation cost.</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Partitioning by date/user_id</w:t>
      </w:r>
      <w:r w:rsidDel="00000000" w:rsidR="00000000" w:rsidRPr="00000000">
        <w:rPr>
          <w:rtl w:val="0"/>
        </w:rPr>
        <w:t xml:space="preserve"> for large tables (e.g., trades).</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Reusable data models</w:t>
      </w:r>
      <w:r w:rsidDel="00000000" w:rsidR="00000000" w:rsidRPr="00000000">
        <w:rPr>
          <w:rtl w:val="0"/>
        </w:rPr>
        <w:t xml:space="preserve">: Design fact tables (</w:t>
      </w:r>
      <w:r w:rsidDel="00000000" w:rsidR="00000000" w:rsidRPr="00000000">
        <w:rPr>
          <w:rFonts w:ascii="Roboto Mono" w:cs="Roboto Mono" w:eastAsia="Roboto Mono" w:hAnsi="Roboto Mono"/>
          <w:color w:val="188038"/>
          <w:rtl w:val="0"/>
        </w:rPr>
        <w:t xml:space="preserve">fact_trades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fact_p2p</w:t>
      </w:r>
      <w:r w:rsidDel="00000000" w:rsidR="00000000" w:rsidRPr="00000000">
        <w:rPr>
          <w:rtl w:val="0"/>
        </w:rPr>
        <w:t xml:space="preserve">) and shared dimensions (</w:t>
      </w:r>
      <w:r w:rsidDel="00000000" w:rsidR="00000000" w:rsidRPr="00000000">
        <w:rPr>
          <w:rFonts w:ascii="Roboto Mono" w:cs="Roboto Mono" w:eastAsia="Roboto Mono" w:hAnsi="Roboto Mono"/>
          <w:color w:val="188038"/>
          <w:rtl w:val="0"/>
        </w:rPr>
        <w:t xml:space="preserve">dim_user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dim_token</w:t>
      </w:r>
      <w:r w:rsidDel="00000000" w:rsidR="00000000" w:rsidRPr="00000000">
        <w:rPr>
          <w:rtl w:val="0"/>
        </w:rPr>
        <w:t xml:space="preserve">).</w:t>
        <w:br w:type="textWrapping"/>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b w:val="1"/>
          <w:rtl w:val="0"/>
        </w:rPr>
        <w:t xml:space="preserve">Automated validation</w:t>
      </w:r>
      <w:r w:rsidDel="00000000" w:rsidR="00000000" w:rsidRPr="00000000">
        <w:rPr>
          <w:rtl w:val="0"/>
        </w:rPr>
        <w:t xml:space="preserve">: Daily data quality jobs to alert anomalies.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il1zlu1eb97r" w:id="7"/>
      <w:bookmarkEnd w:id="7"/>
      <w:r w:rsidDel="00000000" w:rsidR="00000000" w:rsidRPr="00000000">
        <w:rPr>
          <w:b w:val="1"/>
          <w:color w:val="000000"/>
          <w:sz w:val="26"/>
          <w:szCs w:val="26"/>
          <w:rtl w:val="0"/>
        </w:rPr>
        <w:t xml:space="preserve">7. Access &amp; Compliance</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role-based access control (RBAC)</w:t>
      </w:r>
      <w:r w:rsidDel="00000000" w:rsidR="00000000" w:rsidRPr="00000000">
        <w:rPr>
          <w:rtl w:val="0"/>
        </w:rPr>
        <w:t xml:space="preserve">:</w:t>
        <w:br w:type="textWrapping"/>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Analysts → </w:t>
      </w:r>
      <w:r w:rsidDel="00000000" w:rsidR="00000000" w:rsidRPr="00000000">
        <w:rPr>
          <w:rFonts w:ascii="Roboto Mono" w:cs="Roboto Mono" w:eastAsia="Roboto Mono" w:hAnsi="Roboto Mono"/>
          <w:color w:val="188038"/>
          <w:rtl w:val="0"/>
        </w:rPr>
        <w:t xml:space="preserve">dw</w:t>
      </w:r>
      <w:r w:rsidDel="00000000" w:rsidR="00000000" w:rsidRPr="00000000">
        <w:rPr>
          <w:rtl w:val="0"/>
        </w:rPr>
        <w:t xml:space="preserve"> schema (read-only)</w:t>
        <w:br w:type="textWrapping"/>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Engineers → all schemas</w:t>
        <w:br w:type="textWrapping"/>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Business users → dashboard only</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PII masking</w:t>
      </w:r>
      <w:r w:rsidDel="00000000" w:rsidR="00000000" w:rsidRPr="00000000">
        <w:rPr>
          <w:rtl w:val="0"/>
        </w:rPr>
        <w:t xml:space="preserve"> for sensitive fields (user_id, email).</w:t>
        <w:br w:type="textWrapping"/>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audit logging</w:t>
      </w:r>
      <w:r w:rsidDel="00000000" w:rsidR="00000000" w:rsidRPr="00000000">
        <w:rPr>
          <w:rtl w:val="0"/>
        </w:rPr>
        <w:t xml:space="preserve"> of queries and data changes.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