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9 of 30: Bank Account Opening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4.055096794547"/>
        <w:gridCol w:w="7261.456714229076"/>
        <w:tblGridChange w:id="0">
          <w:tblGrid>
            <w:gridCol w:w="1764.055096794547"/>
            <w:gridCol w:w="7261.456714229076"/>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/services/bank-account-opening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sz w:val="21"/>
                <w:szCs w:val="21"/>
                <w:rtl w:val="0"/>
              </w:rPr>
              <w:t xml:space="preserve">Open a Corporate Bank Account | LAINEXUS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sz w:val="21"/>
                <w:szCs w:val="21"/>
                <w:rtl w:val="0"/>
              </w:rPr>
              <w:t xml:space="preserve">Open a multi currency business bank account for your company. Support in major banks worldwide.</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sz w:val="21"/>
                <w:szCs w:val="21"/>
                <w:rtl w:val="0"/>
              </w:rPr>
              <w:t xml:space="preserve">open a corporate bank account</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sz w:val="21"/>
                <w:szCs w:val="21"/>
                <w:rtl w:val="0"/>
              </w:rPr>
              <w:t xml:space="preserve">Transactional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sz w:val="21"/>
                <w:szCs w:val="21"/>
                <w:rtl w:val="0"/>
              </w:rPr>
              <w:t xml:space="preserve">980 to 1,200 words</w:t>
            </w:r>
          </w:p>
        </w:tc>
      </w:tr>
      <w:tr>
        <w:trPr>
          <w:cantSplit w:val="0"/>
          <w:trHeight w:val="740"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80" w:before="60" w:lineRule="auto"/>
              <w:rPr>
                <w:sz w:val="21"/>
                <w:szCs w:val="21"/>
              </w:rPr>
            </w:pPr>
            <w:r w:rsidDel="00000000" w:rsidR="00000000" w:rsidRPr="00000000">
              <w:rPr>
                <w:sz w:val="21"/>
                <w:szCs w:val="21"/>
                <w:rtl w:val="0"/>
              </w:rPr>
              <w:t xml:space="preserve">Service schema + FAQ schema</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Open a Corporate Bank Account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Securing a reliable financial home is the single most critical milestone after your international company incorporation is finalized. It is also the specific stage where unprepared business founders face the highest rate of friction. Global banking institutions operate entirely independent compliance teams, maintain distinct risk tolerances, and regularly update their list of required documentation. What one institutional compliance desk rejects, another may approve within days.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At LAINEXUS, we have successfully guided hundreds of cross-border corporate structures through complex banking pipelines. We know exactly which banking networks align with specific digital industries, geographic trade corridors, and corporate setups, helping you avoid long processing delays.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Non-Negotiable Onboarding Documentation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While every international financial network runs its own distinct corporate underwriting, the underlying compliance baseline remains highly standardized. To </w:t>
      </w:r>
      <w:r w:rsidDel="00000000" w:rsidR="00000000" w:rsidRPr="00000000">
        <w:rPr>
          <w:b w:val="1"/>
          <w:bCs w:val="1"/>
          <w:sz w:val="24"/>
          <w:szCs w:val="24"/>
          <w:rtl w:val="0"/>
        </w:rPr>
        <w:t xml:space="preserve">open a corporate bank account</w:t>
      </w:r>
      <w:r w:rsidDel="00000000" w:rsidR="00000000" w:rsidRPr="00000000">
        <w:rPr>
          <w:sz w:val="24"/>
          <w:szCs w:val="24"/>
          <w:rtl w:val="0"/>
        </w:rPr>
        <w:t xml:space="preserve"> without administrative pushback, your firm must assemble a certified compliance portfolio containing:</w:t>
      </w:r>
    </w:p>
    <w:p w:rsidR="00000000" w:rsidDel="00000000" w:rsidP="00000000" w:rsidRDefault="00000000" w:rsidRPr="00000000" w14:paraId="0000001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180" w:lineRule="auto"/>
        <w:ind w:left="720" w:hanging="360"/>
      </w:pPr>
      <w:r w:rsidDel="00000000" w:rsidR="00000000" w:rsidRPr="00000000">
        <w:rPr>
          <w:b w:val="1"/>
          <w:bCs w:val="1"/>
          <w:sz w:val="24"/>
          <w:szCs w:val="24"/>
          <w:rtl w:val="0"/>
        </w:rPr>
        <w:t xml:space="preserve">Certified Corporate Credentials</w:t>
      </w:r>
      <w:r w:rsidDel="00000000" w:rsidR="00000000" w:rsidRPr="00000000">
        <w:rPr>
          <w:sz w:val="24"/>
          <w:szCs w:val="24"/>
          <w:rtl w:val="0"/>
        </w:rPr>
        <w:t xml:space="preserve">: A validated copy of your state Certificate of Incorporation alongside your formal Memorandum and Articles of Association.</w:t>
      </w:r>
    </w:p>
    <w:p w:rsidR="00000000" w:rsidDel="00000000" w:rsidP="00000000" w:rsidRDefault="00000000" w:rsidRPr="00000000" w14:paraId="0000001C">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sz w:val="24"/>
          <w:szCs w:val="24"/>
          <w:rtl w:val="0"/>
        </w:rPr>
        <w:t xml:space="preserve">Statutory Board Resolution</w:t>
      </w:r>
      <w:r w:rsidDel="00000000" w:rsidR="00000000" w:rsidRPr="00000000">
        <w:rPr>
          <w:sz w:val="24"/>
          <w:szCs w:val="24"/>
          <w:rtl w:val="0"/>
        </w:rPr>
        <w:t xml:space="preserve">: An official, signed corporate resolution from your company directors explicitly authorizing the opening of the account and assigning individual signing authorities.</w:t>
      </w:r>
    </w:p>
    <w:p w:rsidR="00000000" w:rsidDel="00000000" w:rsidP="00000000" w:rsidRDefault="00000000" w:rsidRPr="00000000" w14:paraId="0000001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sz w:val="24"/>
          <w:szCs w:val="24"/>
          <w:rtl w:val="0"/>
        </w:rPr>
        <w:t xml:space="preserve">Comprehensive KYC Dossier</w:t>
      </w:r>
      <w:r w:rsidDel="00000000" w:rsidR="00000000" w:rsidRPr="00000000">
        <w:rPr>
          <w:sz w:val="24"/>
          <w:szCs w:val="24"/>
          <w:rtl w:val="0"/>
        </w:rPr>
        <w:t xml:space="preserve">: High-resolution passport copies and physical address verifications (utility bills or bank statements dated within 90 days) for every appointed director, substantial shareholder, and Ultimate Beneficial Owner (UBO).</w:t>
      </w:r>
    </w:p>
    <w:p w:rsidR="00000000" w:rsidDel="00000000" w:rsidP="00000000" w:rsidRDefault="00000000" w:rsidRPr="00000000" w14:paraId="0000001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sz w:val="24"/>
          <w:szCs w:val="24"/>
          <w:rtl w:val="0"/>
        </w:rPr>
        <w:t xml:space="preserve">Corporate Operational Overview</w:t>
      </w:r>
      <w:r w:rsidDel="00000000" w:rsidR="00000000" w:rsidRPr="00000000">
        <w:rPr>
          <w:sz w:val="24"/>
          <w:szCs w:val="24"/>
          <w:rtl w:val="0"/>
        </w:rPr>
        <w:t xml:space="preserve">: A transparent summary detailing your exact revenue generation model, targeted client regions, and expected monthly incoming and outgoing wire volumes.</w:t>
      </w:r>
    </w:p>
    <w:p w:rsidR="00000000" w:rsidDel="00000000" w:rsidP="00000000" w:rsidRDefault="00000000" w:rsidRPr="00000000" w14:paraId="0000001F">
      <w:pPr>
        <w:numPr>
          <w:ilvl w:val="0"/>
          <w:numId w:val="2"/>
        </w:numPr>
        <w:pBdr>
          <w:top w:color="auto" w:space="0" w:sz="0" w:val="none"/>
          <w:left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b w:val="1"/>
          <w:bCs w:val="1"/>
          <w:sz w:val="24"/>
          <w:szCs w:val="24"/>
          <w:rtl w:val="0"/>
        </w:rPr>
        <w:t xml:space="preserve">Commercial Substance Proof</w:t>
      </w:r>
      <w:r w:rsidDel="00000000" w:rsidR="00000000" w:rsidRPr="00000000">
        <w:rPr>
          <w:sz w:val="24"/>
          <w:szCs w:val="24"/>
          <w:rtl w:val="0"/>
        </w:rPr>
        <w:t xml:space="preserve">: Depending on your risk tier, banks routinely demand supporting evidence of an active business track record, such as draft client agreements, vendor invoices, website wireframes, or a concise corporate business plan.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180" w:lineRule="auto"/>
        <w:rPr/>
      </w:pPr>
      <w:r w:rsidDel="00000000" w:rsidR="00000000" w:rsidRPr="00000000">
        <w:rPr>
          <w:sz w:val="24"/>
          <w:szCs w:val="24"/>
          <w:rtl w:val="0"/>
        </w:rPr>
        <w:t xml:space="preserve">Compliance officers deny applications not because a business model lacks profitability, but because the founder failed to illustrate their corporate flow of funds with absolute clarity. We audit and organize your entire onboarding file before submitting it to your chosen institution.</w: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Global Multi-Currency Ecosystems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Operating a cross-border e-commerce brand, digital consultancy, or trading group requires a financial platform that can fluidly manage multiple foreign currencies simultaneously. A dedicated multi-currency corporate account enables your firm to accept, hold, and deploy major global currencies—such as USD, EUR, GBP, HKD, and SGD—without triggering automated conversion penalties every time an international client settles an invoice.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22.174370867421"/>
        <w:gridCol w:w="6103.337440156202"/>
        <w:tblGridChange w:id="0">
          <w:tblGrid>
            <w:gridCol w:w="2922.174370867421"/>
            <w:gridCol w:w="6103.33744015620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before="280" w:lineRule="auto"/>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Process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20" w:before="280" w:lineRule="auto"/>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Outcome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Incoming Wire (USD/EUR)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Funds received in your preferred 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Multi-Currency IBAN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Hold assets in their original 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Currency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Convert funds when it best suits your strategy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International Payments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Pay overseas suppliers directly without unnecessary conversions</w:t>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180" w:lineRule="auto"/>
        <w:rPr/>
      </w:pPr>
      <w:r w:rsidDel="00000000" w:rsidR="00000000" w:rsidRPr="00000000">
        <w:rPr>
          <w:sz w:val="24"/>
          <w:szCs w:val="24"/>
          <w:rtl w:val="0"/>
        </w:rPr>
        <w:t xml:space="preserve">This setup protects your gross margins from expensive foreign exchange fees and gives your treasury desk full control over when and how you execute currency conversions. Top-tier traditional institutions in major hubs like Hong Kong and Singapore feature robust multi-currency checking networks. Concurrently, modern digital platforms provide identical multi-currency processing features paired with highly competitive currency conversion rates and rapid onboarding pipelines.</w: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Remote vs. In-Person Attendance Mandates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A common point of confusion for foreign founders is the physical verification rules enforced by traditional banking networks. The requirement to travel for an in-person branch interview depends entirely on the financial institution, your country of incorporation, and the specific trade activities you perform.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1. Traditional Brick-and-Mortar Banks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Legacy tier-one corporate banks within primary financial capitals—most notably in Hong Kong and Singapore—enforce strict statutory mandates requiring at least one executive director to physically visit a local branch office to complete identity verification. This is especially true for brand-new entities with no prior transactional footprint. However, certain multinational banking groups with a global branch network occasionally allow founders to complete this identity screening at an office in their home country, eliminating the need for international travel.</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2. Digital Banks and Fintech Platforms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180" w:lineRule="auto"/>
        <w:rPr/>
      </w:pPr>
      <w:r w:rsidDel="00000000" w:rsidR="00000000" w:rsidRPr="00000000">
        <w:rPr>
          <w:sz w:val="24"/>
          <w:szCs w:val="24"/>
          <w:rtl w:val="0"/>
        </w:rPr>
        <w:t xml:space="preserve">Modern digital-first banks and regulated financial platforms accept 100% remote digital applications for companies registered in highly reputable hubs. LAINEXUS outlines these attendance rules clearly during your planning phase, ensuring you do not waste resources filing an application with an institution whose in-person verification rules you cannot satisfy.</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Traditional Banks vs. Electronic Money Institutions (EMIs)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Cross-border companies are no longer limited to legacy corporate banks. Electronic Money Institutions (EMIs) serve as highly agile financial platforms authorized to issue electronic money, manage global transactional payments, and provide valid business accounts with individual IBANs. Leading global fintech platforms like Wise, Airwallex, and Payoneer are standard components of modern international corporate architecture.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Evaluating the two options involves analyzing a clear operational trade-off:</w:t>
      </w:r>
    </w:p>
    <w:p w:rsidR="00000000" w:rsidDel="00000000" w:rsidP="00000000" w:rsidRDefault="00000000" w:rsidRPr="00000000" w14:paraId="0000003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180" w:lineRule="auto"/>
        <w:ind w:left="720" w:hanging="360"/>
      </w:pPr>
      <w:r w:rsidDel="00000000" w:rsidR="00000000" w:rsidRPr="00000000">
        <w:rPr>
          <w:b w:val="1"/>
          <w:bCs w:val="1"/>
          <w:sz w:val="24"/>
          <w:szCs w:val="24"/>
          <w:rtl w:val="0"/>
        </w:rPr>
        <w:t xml:space="preserve">Traditional Corporate Banking</w:t>
      </w:r>
      <w:r w:rsidDel="00000000" w:rsidR="00000000" w:rsidRPr="00000000">
        <w:rPr>
          <w:sz w:val="24"/>
          <w:szCs w:val="24"/>
          <w:rtl w:val="0"/>
        </w:rPr>
        <w:t xml:space="preserve">: Delivers institutional prestige, access to complex trade finance instruments, multi-million dollar transaction caps, and high credibility with conservative enterprise clients. However, it demands longer multi-week compliance reviews and regular in-person interviews.</w:t>
      </w:r>
    </w:p>
    <w:p w:rsidR="00000000" w:rsidDel="00000000" w:rsidP="00000000" w:rsidRDefault="00000000" w:rsidRPr="00000000" w14:paraId="0000003B">
      <w:pPr>
        <w:numPr>
          <w:ilvl w:val="0"/>
          <w:numId w:val="1"/>
        </w:numPr>
        <w:pBdr>
          <w:top w:color="auto" w:space="0" w:sz="0" w:val="none"/>
          <w:left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b w:val="1"/>
          <w:bCs w:val="1"/>
          <w:sz w:val="24"/>
          <w:szCs w:val="24"/>
          <w:rtl w:val="0"/>
        </w:rPr>
        <w:t xml:space="preserve">Electronic Money Institutions (EMIs)</w:t>
      </w:r>
      <w:r w:rsidDel="00000000" w:rsidR="00000000" w:rsidRPr="00000000">
        <w:rPr>
          <w:sz w:val="24"/>
          <w:szCs w:val="24"/>
          <w:rtl w:val="0"/>
        </w:rPr>
        <w:t xml:space="preserve">: Offer 100% remote online setup, active multi-currency accounts within business days, lower transaction fees, and user-friendly digital integration. The trade-off is that certain legacy suppliers or institutional partners prefer seeing a traditional bank name on commercial payment slips.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180" w:lineRule="auto"/>
        <w:rPr/>
      </w:pPr>
      <w:r w:rsidDel="00000000" w:rsidR="00000000" w:rsidRPr="00000000">
        <w:rPr>
          <w:b w:val="1"/>
          <w:bCs w:val="1"/>
          <w:i w:val="1"/>
          <w:iCs w:val="1"/>
          <w:sz w:val="24"/>
          <w:szCs w:val="24"/>
          <w:rtl w:val="0"/>
        </w:rPr>
        <w:t xml:space="preserve">The LAINEXUS Implementation Path</w:t>
      </w:r>
      <w:r w:rsidDel="00000000" w:rsidR="00000000" w:rsidRPr="00000000">
        <w:rPr>
          <w:b w:val="1"/>
          <w:bCs w:val="1"/>
          <w:sz w:val="24"/>
          <w:szCs w:val="24"/>
          <w:rtl w:val="0"/>
        </w:rPr>
        <w:t xml:space="preserve">: </w:t>
      </w:r>
      <w:r w:rsidDel="00000000" w:rsidR="00000000" w:rsidRPr="00000000">
        <w:rPr>
          <w:sz w:val="24"/>
          <w:szCs w:val="24"/>
          <w:rtl w:val="0"/>
        </w:rPr>
        <w:t xml:space="preserve">For maximum operational efficiency, we routinely advise international clients to secure a remote EMI account immediately to unlock immediate cross-border payments. While your digital account manages daily trade operations, we submit a parallel application to a traditional brick-and-mortar institution, maintaining your business momentum while legacy compliance teams run their multi-week reviews.</w:t>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80" w:before="360" w:lineRule="auto"/>
        <w:rPr>
          <w:b w:val="1"/>
          <w:bCs w:val="1"/>
          <w:sz w:val="24"/>
          <w:szCs w:val="24"/>
        </w:rPr>
      </w:pPr>
      <w:r w:rsidDel="00000000" w:rsidR="00000000" w:rsidRPr="00000000">
        <w:rPr>
          <w:b w:val="1"/>
          <w:bCs w:val="1"/>
          <w:sz w:val="24"/>
          <w:szCs w:val="24"/>
          <w:rtl w:val="0"/>
        </w:rPr>
        <w:t xml:space="preserve">Can I open a corporate bank account entirely remotely?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Yes, remote setup is entirely viable depending on the specific financial institution you select. A wide selection of international EMIs and digital banks accept fully remote setups for entities registered in top-tier jurisdictions. However, legacy tier-one banks in prime hubs may still require an executive director to travel for a face-to-face interview. We evaluate your physical availability to pair your company with the most accessible banking routes.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80" w:before="360" w:lineRule="auto"/>
        <w:rPr>
          <w:b w:val="1"/>
          <w:bCs w:val="1"/>
          <w:sz w:val="24"/>
          <w:szCs w:val="24"/>
        </w:rPr>
      </w:pPr>
      <w:r w:rsidDel="00000000" w:rsidR="00000000" w:rsidRPr="00000000">
        <w:rPr>
          <w:b w:val="1"/>
          <w:bCs w:val="1"/>
          <w:sz w:val="24"/>
          <w:szCs w:val="24"/>
          <w:rtl w:val="0"/>
        </w:rPr>
        <w:t xml:space="preserve">What specific documents do corporate banks require?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Most corporate banks mandate the submission of your state Certificate of Incorporation, corporate constitution or Articles of Association, a signed account-opening board resolution, valid passport files, and utility bills for all UBOs. Additionally, compliance teams require transparent proof of your business model, such as client contracts, supplier invoices, or operational websites.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80" w:before="360" w:lineRule="auto"/>
        <w:rPr>
          <w:b w:val="1"/>
          <w:bCs w:val="1"/>
          <w:sz w:val="24"/>
          <w:szCs w:val="24"/>
        </w:rPr>
      </w:pPr>
      <w:r w:rsidDel="00000000" w:rsidR="00000000" w:rsidRPr="00000000">
        <w:rPr>
          <w:b w:val="1"/>
          <w:bCs w:val="1"/>
          <w:sz w:val="24"/>
          <w:szCs w:val="24"/>
          <w:rtl w:val="0"/>
        </w:rPr>
        <w:t xml:space="preserve">What are the main benefits of a business multi-currency account?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A multi-currency account allows your enterprise to hold separate currency balances under a single account architecture. This enables you to receive funds from global customers in their local currency and use those exact holdings to pay international vendors directly. This process eliminates automatic conversion fees and lets you manage currency exchanges on your own terms.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80" w:before="360" w:lineRule="auto"/>
        <w:rPr>
          <w:b w:val="1"/>
          <w:bCs w:val="1"/>
          <w:sz w:val="24"/>
          <w:szCs w:val="24"/>
        </w:rPr>
      </w:pPr>
      <w:r w:rsidDel="00000000" w:rsidR="00000000" w:rsidRPr="00000000">
        <w:rPr>
          <w:b w:val="1"/>
          <w:bCs w:val="1"/>
          <w:sz w:val="24"/>
          <w:szCs w:val="24"/>
          <w:rtl w:val="0"/>
        </w:rPr>
        <w:t xml:space="preserve">How long does the corporate bank onboarding process take?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180" w:lineRule="auto"/>
        <w:rPr/>
      </w:pPr>
      <w:r w:rsidDel="00000000" w:rsidR="00000000" w:rsidRPr="00000000">
        <w:rPr>
          <w:sz w:val="24"/>
          <w:szCs w:val="24"/>
          <w:rtl w:val="0"/>
        </w:rPr>
        <w:t xml:space="preserve">Setup speeds depend heavily on the structure of the financial institution. Regulated EMIs can frequently verify and open active multi-currency business accounts within 3 to 5 business days. In contrast, traditional tier-one corporate banks typically require 2 to 6 weeks to finalize their compliance reviews, with timelines extending further if your company operates within a high-growth digital sector.</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80" w:before="360" w:lineRule="auto"/>
        <w:rPr>
          <w:sz w:val="30"/>
          <w:szCs w:val="30"/>
        </w:rPr>
      </w:pPr>
      <w:r w:rsidDel="00000000" w:rsidR="00000000" w:rsidRPr="00000000">
        <w:rPr>
          <w:sz w:val="30"/>
          <w:szCs w:val="30"/>
          <w:rtl w:val="0"/>
        </w:rPr>
        <w:t xml:space="preserve">Streamline Your Corporate Banking Setup</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180" w:lineRule="auto"/>
        <w:rPr>
          <w:sz w:val="24"/>
          <w:szCs w:val="24"/>
        </w:rPr>
      </w:pPr>
      <w:r w:rsidDel="00000000" w:rsidR="00000000" w:rsidRPr="00000000">
        <w:rPr>
          <w:sz w:val="24"/>
          <w:szCs w:val="24"/>
          <w:rtl w:val="0"/>
        </w:rPr>
        <w:t xml:space="preserve">Navigating global banking compliance without experienced guidance can lead to successive rejections and lost business momentum. The team at LAINEXUS handles the entire onboarding process, aligning your international firm with pre-vetted financial institutions that understand your industry model.</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180" w:lineRule="auto"/>
        <w:rPr/>
      </w:pPr>
      <w:r w:rsidDel="00000000" w:rsidR="00000000" w:rsidRPr="00000000">
        <w:rPr>
          <w:sz w:val="24"/>
          <w:szCs w:val="24"/>
          <w:rtl w:val="0"/>
        </w:rPr>
        <w:t xml:space="preserve">Ready to secure a stable banking home for your cross-border enterprise? Navigate to our </w:t>
      </w:r>
      <w:r w:rsidDel="00000000" w:rsidR="00000000" w:rsidRPr="00000000">
        <w:rPr>
          <w:b w:val="1"/>
          <w:bCs w:val="1"/>
          <w:sz w:val="24"/>
          <w:szCs w:val="24"/>
          <w:rtl w:val="0"/>
        </w:rPr>
        <w:t xml:space="preserve">Company Registration hub</w:t>
      </w:r>
      <w:r w:rsidDel="00000000" w:rsidR="00000000" w:rsidRPr="00000000">
        <w:rPr>
          <w:sz w:val="24"/>
          <w:szCs w:val="24"/>
          <w:rtl w:val="0"/>
        </w:rPr>
        <w:t xml:space="preserve"> to launch your entity, or reach out to our consulting team today to structure your dedicated corporate banking strategy.</w:t>
      </w:r>
      <w:r w:rsidDel="00000000" w:rsidR="00000000" w:rsidRPr="00000000">
        <w:rPr>
          <w:rtl w:val="0"/>
        </w:rPr>
      </w:r>
    </w:p>
    <w:p w:rsidR="00000000" w:rsidDel="00000000" w:rsidP="00000000" w:rsidRDefault="00000000" w:rsidRPr="00000000" w14:paraId="00000049">
      <w:pPr>
        <w:pStyle w:val="Heading2"/>
        <w:keepNext w:val="0"/>
        <w:keepLines w:val="0"/>
        <w:spacing w:after="180" w:before="320" w:lineRule="auto"/>
        <w:rPr>
          <w:b w:val="1"/>
          <w:bCs w:val="1"/>
          <w:sz w:val="34"/>
          <w:szCs w:val="34"/>
        </w:rPr>
      </w:pPr>
      <w:bookmarkStart w:colFirst="0" w:colLast="0" w:name="_6xxw00jjpqd3" w:id="0"/>
      <w:bookmarkEnd w:id="0"/>
      <w:r w:rsidDel="00000000" w:rsidR="00000000" w:rsidRPr="00000000">
        <w:rPr>
          <w:b w:val="1"/>
          <w:bCs w:val="1"/>
          <w:sz w:val="34"/>
          <w:szCs w:val="34"/>
          <w:rtl w:val="0"/>
        </w:rPr>
        <w:t xml:space="preserve">Internal Links to Add</w:t>
      </w:r>
    </w:p>
    <w:p w:rsidR="00000000" w:rsidDel="00000000" w:rsidP="00000000" w:rsidRDefault="00000000" w:rsidRPr="00000000" w14:paraId="0000004A">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Banks in Hong Kong" &gt; /blog/best-offshore-banks (once live)</w:t>
      </w:r>
    </w:p>
    <w:p w:rsidR="00000000" w:rsidDel="00000000" w:rsidP="00000000" w:rsidRDefault="00000000" w:rsidRPr="00000000" w14:paraId="0000004B">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Registration hub" &gt; /services/company-registration</w:t>
      </w:r>
    </w:p>
    <w:p w:rsidR="00000000" w:rsidDel="00000000" w:rsidP="00000000" w:rsidRDefault="00000000" w:rsidRPr="00000000" w14:paraId="0000004C">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"Hong Kong company registration" &gt; /services/hong-kong-company-registration</w:t>
      </w:r>
    </w:p>
    <w:p w:rsidR="00000000" w:rsidDel="00000000" w:rsidP="00000000" w:rsidRDefault="00000000" w:rsidRPr="00000000" w14:paraId="0000004D">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"Singapore company" &gt; /services/singapore-company</w:t>
      </w:r>
    </w:p>
    <w:p w:rsidR="00000000" w:rsidDel="00000000" w:rsidP="00000000" w:rsidRDefault="00000000" w:rsidRPr="00000000" w14:paraId="0000004E">
      <w:pPr>
        <w:spacing w:after="80" w:lineRule="auto"/>
        <w:ind w:left="180" w:firstLine="0"/>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