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80" w:before="320" w:lineRule="auto"/>
        <w:rPr>
          <w:b w:val="1"/>
          <w:bCs w:val="1"/>
          <w:sz w:val="34"/>
          <w:szCs w:val="34"/>
        </w:rPr>
      </w:pPr>
      <w:bookmarkStart w:colFirst="0" w:colLast="0" w:name="_tfqftf35xzd7"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3">
            <w:pPr>
              <w:rPr>
                <w:sz w:val="30"/>
                <w:szCs w:val="30"/>
              </w:rPr>
            </w:pPr>
            <w:r w:rsidDel="00000000" w:rsidR="00000000" w:rsidRPr="00000000">
              <w:rPr>
                <w:sz w:val="30"/>
                <w:szCs w:val="30"/>
                <w:rtl w:val="0"/>
              </w:rPr>
              <w:t xml:space="preserve">/blog/hong-kong-vs-singapore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sz w:val="30"/>
                <w:szCs w:val="30"/>
              </w:rPr>
            </w:pPr>
            <w:r w:rsidDel="00000000" w:rsidR="00000000" w:rsidRPr="00000000">
              <w:rPr>
                <w:sz w:val="30"/>
                <w:szCs w:val="30"/>
                <w:rtl w:val="0"/>
              </w:rPr>
              <w:t xml:space="preserve">Hong Kong vs Singapore for Business | Full Comparison | LAINEXUS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sz w:val="30"/>
                <w:szCs w:val="30"/>
              </w:rPr>
            </w:pPr>
            <w:r w:rsidDel="00000000" w:rsidR="00000000" w:rsidRPr="00000000">
              <w:rPr>
                <w:sz w:val="30"/>
                <w:szCs w:val="30"/>
                <w:rtl w:val="0"/>
              </w:rPr>
              <w:t xml:space="preserve">Compare Hong Kong and Singapore for company registration, tax, banking, and more.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sz w:val="30"/>
                <w:szCs w:val="30"/>
              </w:rPr>
            </w:pPr>
            <w:r w:rsidDel="00000000" w:rsidR="00000000" w:rsidRPr="00000000">
              <w:rPr>
                <w:sz w:val="30"/>
                <w:szCs w:val="30"/>
                <w:rtl w:val="0"/>
              </w:rPr>
              <w:t xml:space="preserve">Hong Kong or Singapore for business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sz w:val="30"/>
                <w:szCs w:val="30"/>
              </w:rPr>
            </w:pPr>
            <w:r w:rsidDel="00000000" w:rsidR="00000000" w:rsidRPr="00000000">
              <w:rPr>
                <w:sz w:val="30"/>
                <w:szCs w:val="30"/>
                <w:rtl w:val="0"/>
              </w:rPr>
              <w:t xml:space="preserve">Informational / Commercial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sz w:val="30"/>
                <w:szCs w:val="30"/>
              </w:rPr>
            </w:pPr>
            <w:r w:rsidDel="00000000" w:rsidR="00000000" w:rsidRPr="00000000">
              <w:rPr>
                <w:b w:val="1"/>
                <w:bCs w:val="1"/>
                <w:sz w:val="30"/>
                <w:szCs w:val="30"/>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sz w:val="30"/>
                <w:szCs w:val="30"/>
              </w:rPr>
            </w:pPr>
            <w:r w:rsidDel="00000000" w:rsidR="00000000" w:rsidRPr="00000000">
              <w:rPr>
                <w:sz w:val="30"/>
                <w:szCs w:val="30"/>
                <w:rtl w:val="0"/>
              </w:rPr>
              <w:t xml:space="preserve">1,200 to 1,500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sz w:val="30"/>
                <w:szCs w:val="30"/>
              </w:rPr>
            </w:pPr>
            <w:r w:rsidDel="00000000" w:rsidR="00000000" w:rsidRPr="00000000">
              <w:rPr>
                <w:sz w:val="30"/>
                <w:szCs w:val="30"/>
                <w:rtl w:val="0"/>
              </w:rPr>
              <w:t xml:space="preserve">Article schema + FAQ schema</w:t>
            </w:r>
          </w:p>
        </w:tc>
      </w:tr>
    </w:tbl>
    <w:p w:rsidR="00000000" w:rsidDel="00000000" w:rsidP="00000000" w:rsidRDefault="00000000" w:rsidRPr="00000000" w14:paraId="00000010">
      <w:pPr>
        <w:spacing w:after="180" w:before="360" w:lineRule="auto"/>
        <w:rPr>
          <w:sz w:val="30"/>
          <w:szCs w:val="30"/>
        </w:rPr>
      </w:pPr>
      <w:r w:rsidDel="00000000" w:rsidR="00000000" w:rsidRPr="00000000">
        <w:rPr>
          <w:rtl w:val="0"/>
        </w:rPr>
      </w:r>
    </w:p>
    <w:p w:rsidR="00000000" w:rsidDel="00000000" w:rsidP="00000000" w:rsidRDefault="00000000" w:rsidRPr="00000000" w14:paraId="00000011">
      <w:pPr>
        <w:spacing w:after="180" w:before="360" w:lineRule="auto"/>
        <w:rPr>
          <w:sz w:val="30"/>
          <w:szCs w:val="30"/>
        </w:rPr>
      </w:pPr>
      <w:r w:rsidDel="00000000" w:rsidR="00000000" w:rsidRPr="00000000">
        <w:rPr>
          <w:sz w:val="30"/>
          <w:szCs w:val="30"/>
          <w:rtl w:val="0"/>
        </w:rPr>
        <w:t xml:space="preserve">Hong Kong vs Singapore: Which One Should You Choose?</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This is the exact question our corporate structuring team handles more than any other. Both cities consistently rank as global titans for company formation, wealth management, and cross-border commerce. Both financial hubs offer remarkably competitive corporate tax structures, prestigious legal systems, and world-class commercial banking infrastructure.</w:t>
      </w:r>
    </w:p>
    <w:p w:rsidR="00000000" w:rsidDel="00000000" w:rsidP="00000000" w:rsidRDefault="00000000" w:rsidRPr="00000000" w14:paraId="00000013">
      <w:pPr>
        <w:spacing w:after="240" w:before="180" w:lineRule="auto"/>
        <w:rPr>
          <w:sz w:val="24"/>
          <w:szCs w:val="24"/>
        </w:rPr>
      </w:pPr>
      <w:r w:rsidDel="00000000" w:rsidR="00000000" w:rsidRPr="00000000">
        <w:rPr>
          <w:sz w:val="24"/>
          <w:szCs w:val="24"/>
          <w:rtl w:val="0"/>
        </w:rPr>
        <w:t xml:space="preserve">However, they are far from identical. Choosing between </w:t>
      </w:r>
      <w:r w:rsidDel="00000000" w:rsidR="00000000" w:rsidRPr="00000000">
        <w:rPr>
          <w:b w:val="1"/>
          <w:bCs w:val="1"/>
          <w:sz w:val="24"/>
          <w:szCs w:val="24"/>
          <w:rtl w:val="0"/>
        </w:rPr>
        <w:t xml:space="preserve">Hong Kong or Singapore for business</w:t>
      </w:r>
      <w:r w:rsidDel="00000000" w:rsidR="00000000" w:rsidRPr="00000000">
        <w:rPr>
          <w:sz w:val="24"/>
          <w:szCs w:val="24"/>
          <w:rtl w:val="0"/>
        </w:rPr>
        <w:t xml:space="preserve"> operations comes down to a precise evaluation of where your target markets sit, how your income is generated, and your corporate growth strategy.</w:t>
      </w:r>
    </w:p>
    <w:p w:rsidR="00000000" w:rsidDel="00000000" w:rsidP="00000000" w:rsidRDefault="00000000" w:rsidRPr="00000000" w14:paraId="00000014">
      <w:pPr>
        <w:spacing w:after="240" w:before="180" w:lineRule="auto"/>
        <w:rPr/>
      </w:pPr>
      <w:r w:rsidDel="00000000" w:rsidR="00000000" w:rsidRPr="00000000">
        <w:rPr>
          <w:sz w:val="24"/>
          <w:szCs w:val="24"/>
          <w:rtl w:val="0"/>
        </w:rPr>
        <w:t xml:space="preserve">This comprehensive operational comparison unpacks the distinct mechanics that actually matter when deciding where to anchor your corporate presence.</w:t>
      </w:r>
      <w:r w:rsidDel="00000000" w:rsidR="00000000" w:rsidRPr="00000000">
        <w:rPr>
          <w:rtl w:val="0"/>
        </w:rPr>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1. Corporate Taxation Models</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foundational divergence between these two financial capitals lies in how they assess corporate revenues, especially income generated outside their borders.</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tbl>
      <w:tblPr>
        <w:tblStyle w:val="Table2"/>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8.0902686207287"/>
        <w:gridCol w:w="3344.3815695286894"/>
        <w:gridCol w:w="3733.039972874204"/>
        <w:tblGridChange w:id="0">
          <w:tblGrid>
            <w:gridCol w:w="1948.0902686207287"/>
            <w:gridCol w:w="3344.3815695286894"/>
            <w:gridCol w:w="3733.039972874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Hong Kong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Singapore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Tax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Pure Territorial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Modified Worldwide Model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Corporate 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8.25% (first HKD 2M), then 16.5%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17% flat rate with startup tax incentives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VAT / GST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 GST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Capital Gains 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w:t>
            </w:r>
          </w:p>
        </w:tc>
      </w:tr>
    </w:tbl>
    <w:p w:rsidR="00000000" w:rsidDel="00000000" w:rsidP="00000000" w:rsidRDefault="00000000" w:rsidRPr="00000000" w14:paraId="0000002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spacing w:after="180" w:before="360" w:lineRule="auto"/>
        <w:rPr>
          <w:sz w:val="30"/>
          <w:szCs w:val="30"/>
        </w:rPr>
      </w:pPr>
      <w:r w:rsidDel="00000000" w:rsidR="00000000" w:rsidRPr="00000000">
        <w:rPr>
          <w:sz w:val="30"/>
          <w:szCs w:val="30"/>
          <w:rtl w:val="0"/>
        </w:rPr>
        <w:t xml:space="preserve">Hong Kong's Territorial Advantage</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Hong Kong utilizes a strict, highly advantageous territorial tax system. Under this framework, you incur corporate tax liabilities exclusively on profits generated within or derived directly from commercial actions inside Hong Kong. If your customer transactions, procurement networks, and operational management occur entirely outside the territory, your company can formally file for a complete offshore tax exemption.</w:t>
      </w:r>
    </w:p>
    <w:p w:rsidR="00000000" w:rsidDel="00000000" w:rsidP="00000000" w:rsidRDefault="00000000" w:rsidRPr="00000000" w14:paraId="0000002A">
      <w:pPr>
        <w:spacing w:after="240" w:before="180" w:lineRule="auto"/>
        <w:rPr>
          <w:sz w:val="24"/>
          <w:szCs w:val="24"/>
        </w:rPr>
      </w:pPr>
      <w:r w:rsidDel="00000000" w:rsidR="00000000" w:rsidRPr="00000000">
        <w:rPr>
          <w:sz w:val="24"/>
          <w:szCs w:val="24"/>
          <w:rtl w:val="0"/>
        </w:rPr>
        <w:t xml:space="preserve">For revenue deemed locally sourced, the city provides an attractive two-tier profits tax layout:</w:t>
      </w:r>
    </w:p>
    <w:p w:rsidR="00000000" w:rsidDel="00000000" w:rsidP="00000000" w:rsidRDefault="00000000" w:rsidRPr="00000000" w14:paraId="0000002B">
      <w:pPr>
        <w:numPr>
          <w:ilvl w:val="0"/>
          <w:numId w:val="4"/>
        </w:numPr>
        <w:spacing w:after="0" w:afterAutospacing="0" w:before="180" w:lineRule="auto"/>
        <w:ind w:left="720" w:hanging="360"/>
      </w:pPr>
      <w:r w:rsidDel="00000000" w:rsidR="00000000" w:rsidRPr="00000000">
        <w:rPr>
          <w:b w:val="1"/>
          <w:bCs w:val="1"/>
          <w:sz w:val="24"/>
          <w:szCs w:val="24"/>
          <w:rtl w:val="0"/>
        </w:rPr>
        <w:t xml:space="preserve">8.25% Corporate Tax</w:t>
      </w:r>
      <w:r w:rsidDel="00000000" w:rsidR="00000000" w:rsidRPr="00000000">
        <w:rPr>
          <w:sz w:val="24"/>
          <w:szCs w:val="24"/>
          <w:rtl w:val="0"/>
        </w:rPr>
        <w:t xml:space="preserve">: Applied directly to your initial HKD 2 million of assessable corporate profits.</w:t>
      </w:r>
    </w:p>
    <w:p w:rsidR="00000000" w:rsidDel="00000000" w:rsidP="00000000" w:rsidRDefault="00000000" w:rsidRPr="00000000" w14:paraId="0000002C">
      <w:pPr>
        <w:numPr>
          <w:ilvl w:val="0"/>
          <w:numId w:val="4"/>
        </w:numPr>
        <w:spacing w:after="420" w:before="0" w:beforeAutospacing="0" w:lineRule="auto"/>
        <w:ind w:left="720" w:hanging="360"/>
      </w:pPr>
      <w:r w:rsidDel="00000000" w:rsidR="00000000" w:rsidRPr="00000000">
        <w:rPr>
          <w:b w:val="1"/>
          <w:bCs w:val="1"/>
          <w:sz w:val="24"/>
          <w:szCs w:val="24"/>
          <w:rtl w:val="0"/>
        </w:rPr>
        <w:t xml:space="preserve">16.5% Corporate Tax</w:t>
      </w:r>
      <w:r w:rsidDel="00000000" w:rsidR="00000000" w:rsidRPr="00000000">
        <w:rPr>
          <w:sz w:val="24"/>
          <w:szCs w:val="24"/>
          <w:rtl w:val="0"/>
        </w:rPr>
        <w:t xml:space="preserve">: Applied to all assessable net earnings exceeding that HKD 2 million threshold.</w:t>
      </w:r>
    </w:p>
    <w:p w:rsidR="00000000" w:rsidDel="00000000" w:rsidP="00000000" w:rsidRDefault="00000000" w:rsidRPr="00000000" w14:paraId="0000002D">
      <w:pPr>
        <w:spacing w:after="240" w:before="180" w:lineRule="auto"/>
        <w:rPr>
          <w:sz w:val="24"/>
          <w:szCs w:val="24"/>
        </w:rPr>
      </w:pPr>
      <w:r w:rsidDel="00000000" w:rsidR="00000000" w:rsidRPr="00000000">
        <w:rPr>
          <w:sz w:val="24"/>
          <w:szCs w:val="24"/>
          <w:rtl w:val="0"/>
        </w:rPr>
        <w:t xml:space="preserve">Crucially, Hong Kong maintains a lean tax environment with absolutely zero Value Added Tax (VAT), Goods and Services Tax (GST), or capital gains taxes.</w:t>
      </w:r>
    </w:p>
    <w:p w:rsidR="00000000" w:rsidDel="00000000" w:rsidP="00000000" w:rsidRDefault="00000000" w:rsidRPr="00000000" w14:paraId="0000002E">
      <w:pPr>
        <w:spacing w:after="180" w:before="360" w:lineRule="auto"/>
        <w:rPr>
          <w:sz w:val="30"/>
          <w:szCs w:val="30"/>
        </w:rPr>
      </w:pPr>
      <w:r w:rsidDel="00000000" w:rsidR="00000000" w:rsidRPr="00000000">
        <w:rPr>
          <w:sz w:val="30"/>
          <w:szCs w:val="30"/>
          <w:rtl w:val="0"/>
        </w:rPr>
        <w:t xml:space="preserve">Singapore's Strategic Framework</w:t>
      </w:r>
    </w:p>
    <w:p w:rsidR="00000000" w:rsidDel="00000000" w:rsidP="00000000" w:rsidRDefault="00000000" w:rsidRPr="00000000" w14:paraId="0000002F">
      <w:pPr>
        <w:spacing w:after="240" w:before="180" w:lineRule="auto"/>
        <w:rPr>
          <w:sz w:val="24"/>
          <w:szCs w:val="24"/>
        </w:rPr>
      </w:pPr>
      <w:r w:rsidDel="00000000" w:rsidR="00000000" w:rsidRPr="00000000">
        <w:rPr>
          <w:sz w:val="24"/>
          <w:szCs w:val="24"/>
          <w:rtl w:val="0"/>
        </w:rPr>
        <w:t xml:space="preserve">Singapore operates a modified worldwide tax structure. While corporate tax residents are technically assessed on their global profits, the city-state offers comprehensive, systemic tax exemptions on foreign-source dividends, branch profits, and service revenues, provided specific compliance parameters are met.</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The baseline corporate headline rate is a flat </w:t>
      </w:r>
      <w:r w:rsidDel="00000000" w:rsidR="00000000" w:rsidRPr="00000000">
        <w:rPr>
          <w:b w:val="1"/>
          <w:bCs w:val="1"/>
          <w:sz w:val="24"/>
          <w:szCs w:val="24"/>
          <w:rtl w:val="0"/>
        </w:rPr>
        <w:t xml:space="preserve">17%</w:t>
      </w:r>
      <w:r w:rsidDel="00000000" w:rsidR="00000000" w:rsidRPr="00000000">
        <w:rPr>
          <w:sz w:val="24"/>
          <w:szCs w:val="24"/>
          <w:rtl w:val="0"/>
        </w:rPr>
        <w:t xml:space="preserve">. To aggressively back early-stage corporate ventures, newly incorporated entities can utilize the specialized Start-up Tax Exemption Scheme during their initial three consecutive fiscal years:</w:t>
      </w:r>
    </w:p>
    <w:p w:rsidR="00000000" w:rsidDel="00000000" w:rsidP="00000000" w:rsidRDefault="00000000" w:rsidRPr="00000000" w14:paraId="00000031">
      <w:pPr>
        <w:numPr>
          <w:ilvl w:val="0"/>
          <w:numId w:val="5"/>
        </w:numPr>
        <w:spacing w:after="0" w:afterAutospacing="0" w:before="180" w:lineRule="auto"/>
        <w:ind w:left="720" w:hanging="360"/>
      </w:pPr>
      <w:r w:rsidDel="00000000" w:rsidR="00000000" w:rsidRPr="00000000">
        <w:rPr>
          <w:b w:val="1"/>
          <w:bCs w:val="1"/>
          <w:sz w:val="24"/>
          <w:szCs w:val="24"/>
          <w:rtl w:val="0"/>
        </w:rPr>
        <w:t xml:space="preserve">75% Effective Exemption</w:t>
      </w:r>
      <w:r w:rsidDel="00000000" w:rsidR="00000000" w:rsidRPr="00000000">
        <w:rPr>
          <w:sz w:val="24"/>
          <w:szCs w:val="24"/>
          <w:rtl w:val="0"/>
        </w:rPr>
        <w:t xml:space="preserve">: Applied directly to the first SGD 100,000 of normal chargeable income.</w:t>
      </w:r>
    </w:p>
    <w:p w:rsidR="00000000" w:rsidDel="00000000" w:rsidP="00000000" w:rsidRDefault="00000000" w:rsidRPr="00000000" w14:paraId="00000032">
      <w:pPr>
        <w:numPr>
          <w:ilvl w:val="0"/>
          <w:numId w:val="5"/>
        </w:numPr>
        <w:spacing w:after="420" w:before="0" w:beforeAutospacing="0" w:lineRule="auto"/>
        <w:ind w:left="720" w:hanging="360"/>
      </w:pPr>
      <w:r w:rsidDel="00000000" w:rsidR="00000000" w:rsidRPr="00000000">
        <w:rPr>
          <w:b w:val="1"/>
          <w:bCs w:val="1"/>
          <w:sz w:val="24"/>
          <w:szCs w:val="24"/>
          <w:rtl w:val="0"/>
        </w:rPr>
        <w:t xml:space="preserve">50% Effective Exemption</w:t>
      </w:r>
      <w:r w:rsidDel="00000000" w:rsidR="00000000" w:rsidRPr="00000000">
        <w:rPr>
          <w:sz w:val="24"/>
          <w:szCs w:val="24"/>
          <w:rtl w:val="0"/>
        </w:rPr>
        <w:t xml:space="preserve">: Applied directly to the subsequent SGD 100,000 of chargeable income.</w:t>
      </w:r>
    </w:p>
    <w:p w:rsidR="00000000" w:rsidDel="00000000" w:rsidP="00000000" w:rsidRDefault="00000000" w:rsidRPr="00000000" w14:paraId="00000033">
      <w:pPr>
        <w:spacing w:after="240" w:before="180" w:lineRule="auto"/>
        <w:rPr>
          <w:sz w:val="24"/>
          <w:szCs w:val="24"/>
        </w:rPr>
      </w:pPr>
      <w:r w:rsidDel="00000000" w:rsidR="00000000" w:rsidRPr="00000000">
        <w:rPr>
          <w:sz w:val="24"/>
          <w:szCs w:val="24"/>
          <w:rtl w:val="0"/>
        </w:rPr>
        <w:t xml:space="preserve">This staggered framework minimizes the initial tax burden across your first SGD 200,000 of earnings. Unlike its northern counterpart, Singapore levies a standard </w:t>
      </w:r>
      <w:r w:rsidDel="00000000" w:rsidR="00000000" w:rsidRPr="00000000">
        <w:rPr>
          <w:b w:val="1"/>
          <w:bCs w:val="1"/>
          <w:sz w:val="24"/>
          <w:szCs w:val="24"/>
          <w:rtl w:val="0"/>
        </w:rPr>
        <w:t xml:space="preserve">9% Goods and Services Tax (GST)</w:t>
      </w:r>
      <w:r w:rsidDel="00000000" w:rsidR="00000000" w:rsidRPr="00000000">
        <w:rPr>
          <w:sz w:val="24"/>
          <w:szCs w:val="24"/>
          <w:rtl w:val="0"/>
        </w:rPr>
        <w:t xml:space="preserve"> on domestic transactions and import channels.</w:t>
      </w:r>
    </w:p>
    <w:p w:rsidR="00000000" w:rsidDel="00000000" w:rsidP="00000000" w:rsidRDefault="00000000" w:rsidRPr="00000000" w14:paraId="00000034">
      <w:pPr>
        <w:spacing w:after="180" w:before="360" w:lineRule="auto"/>
        <w:rPr>
          <w:b w:val="1"/>
          <w:bCs w:val="1"/>
          <w:sz w:val="24"/>
          <w:szCs w:val="24"/>
        </w:rPr>
      </w:pPr>
      <w:r w:rsidDel="00000000" w:rsidR="00000000" w:rsidRPr="00000000">
        <w:rPr>
          <w:b w:val="1"/>
          <w:bCs w:val="1"/>
          <w:sz w:val="24"/>
          <w:szCs w:val="24"/>
          <w:rtl w:val="0"/>
        </w:rPr>
        <w:t xml:space="preserve">The Verdict on Tax</w:t>
      </w:r>
    </w:p>
    <w:p w:rsidR="00000000" w:rsidDel="00000000" w:rsidP="00000000" w:rsidRDefault="00000000" w:rsidRPr="00000000" w14:paraId="00000035">
      <w:pPr>
        <w:spacing w:after="240" w:before="180" w:lineRule="auto"/>
        <w:rPr>
          <w:sz w:val="24"/>
          <w:szCs w:val="24"/>
        </w:rPr>
      </w:pPr>
      <w:r w:rsidDel="00000000" w:rsidR="00000000" w:rsidRPr="00000000">
        <w:rPr>
          <w:sz w:val="24"/>
          <w:szCs w:val="24"/>
          <w:rtl w:val="0"/>
        </w:rPr>
        <w:t xml:space="preserve">If your cross-border business generates the vast majority of its revenues outside its country of registration, Hong Kong's pure territorial model often yields a lower overall effective tax rate. However, for technology ventures or enterprise operations that successfully qualify for Singapore's startup exemptions and regular corporate rebates, the effective tax outcome becomes highly competitive, backed by unmatched regional status.</w:t>
      </w:r>
    </w:p>
    <w:p w:rsidR="00000000" w:rsidDel="00000000" w:rsidP="00000000" w:rsidRDefault="00000000" w:rsidRPr="00000000" w14:paraId="00000036">
      <w:pPr>
        <w:spacing w:after="240" w:before="180" w:lineRule="auto"/>
        <w:rPr>
          <w:sz w:val="24"/>
          <w:szCs w:val="24"/>
        </w:rPr>
      </w:pPr>
      <w:r w:rsidDel="00000000" w:rsidR="00000000" w:rsidRPr="00000000">
        <w:rPr>
          <w:rtl w:val="0"/>
        </w:rPr>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2. Commercial Banking Networks</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Establishing an active corporate account is a critical component of international setup, and both financial centers feature heavily capitalized, robust banking ecosystems.</w:t>
      </w:r>
    </w:p>
    <w:p w:rsidR="00000000" w:rsidDel="00000000" w:rsidP="00000000" w:rsidRDefault="00000000" w:rsidRPr="00000000" w14:paraId="00000039">
      <w:pPr>
        <w:spacing w:after="180" w:before="360" w:lineRule="auto"/>
        <w:rPr>
          <w:sz w:val="30"/>
          <w:szCs w:val="30"/>
        </w:rPr>
      </w:pPr>
      <w:r w:rsidDel="00000000" w:rsidR="00000000" w:rsidRPr="00000000">
        <w:rPr>
          <w:sz w:val="30"/>
          <w:szCs w:val="30"/>
          <w:rtl w:val="0"/>
        </w:rPr>
        <w:t xml:space="preserve">The Hong Kong Banking Focus</w:t>
      </w:r>
    </w:p>
    <w:p w:rsidR="00000000" w:rsidDel="00000000" w:rsidP="00000000" w:rsidRDefault="00000000" w:rsidRPr="00000000" w14:paraId="0000003A">
      <w:pPr>
        <w:spacing w:after="240" w:before="180" w:lineRule="auto"/>
        <w:rPr>
          <w:sz w:val="24"/>
          <w:szCs w:val="24"/>
        </w:rPr>
      </w:pPr>
      <w:r w:rsidDel="00000000" w:rsidR="00000000" w:rsidRPr="00000000">
        <w:rPr>
          <w:sz w:val="24"/>
          <w:szCs w:val="24"/>
          <w:rtl w:val="0"/>
        </w:rPr>
        <w:t xml:space="preserve">Hong Kong maintains unparalleled financial links to mainland China. Major banking institutions here—including HSBC, Standard Chartered, Bank of China, and ICBC—are optimally geared toward businesses managing complex supplier networks, manufacturing chains, and large-scale corporate clients inside mainland China.</w:t>
      </w:r>
    </w:p>
    <w:p w:rsidR="00000000" w:rsidDel="00000000" w:rsidP="00000000" w:rsidRDefault="00000000" w:rsidRPr="00000000" w14:paraId="0000003B">
      <w:pPr>
        <w:numPr>
          <w:ilvl w:val="0"/>
          <w:numId w:val="8"/>
        </w:numPr>
        <w:spacing w:after="0" w:afterAutospacing="0" w:before="180" w:lineRule="auto"/>
        <w:ind w:left="720" w:hanging="360"/>
      </w:pPr>
      <w:r w:rsidDel="00000000" w:rsidR="00000000" w:rsidRPr="00000000">
        <w:rPr>
          <w:b w:val="1"/>
          <w:bCs w:val="1"/>
          <w:sz w:val="24"/>
          <w:szCs w:val="24"/>
          <w:rtl w:val="0"/>
        </w:rPr>
        <w:t xml:space="preserve">The Reality</w:t>
      </w:r>
      <w:r w:rsidDel="00000000" w:rsidR="00000000" w:rsidRPr="00000000">
        <w:rPr>
          <w:sz w:val="24"/>
          <w:szCs w:val="24"/>
          <w:rtl w:val="0"/>
        </w:rPr>
        <w:t xml:space="preserve">: The vast majority of traditional institutions require at least one corporate director to complete an in-person compliance interview at a local branch.</w:t>
      </w:r>
    </w:p>
    <w:p w:rsidR="00000000" w:rsidDel="00000000" w:rsidP="00000000" w:rsidRDefault="00000000" w:rsidRPr="00000000" w14:paraId="0000003C">
      <w:pPr>
        <w:numPr>
          <w:ilvl w:val="0"/>
          <w:numId w:val="8"/>
        </w:numPr>
        <w:spacing w:after="420" w:before="0" w:beforeAutospacing="0" w:lineRule="auto"/>
        <w:ind w:left="720" w:hanging="360"/>
      </w:pPr>
      <w:r w:rsidDel="00000000" w:rsidR="00000000" w:rsidRPr="00000000">
        <w:rPr>
          <w:b w:val="1"/>
          <w:bCs w:val="1"/>
          <w:sz w:val="24"/>
          <w:szCs w:val="24"/>
          <w:rtl w:val="0"/>
        </w:rPr>
        <w:t xml:space="preserve">Timeline</w:t>
      </w:r>
      <w:r w:rsidDel="00000000" w:rsidR="00000000" w:rsidRPr="00000000">
        <w:rPr>
          <w:sz w:val="24"/>
          <w:szCs w:val="24"/>
          <w:rtl w:val="0"/>
        </w:rPr>
        <w:t xml:space="preserve">: Onboarding reviews range between two to six weeks depending on the complexity of your ownership layer.</w:t>
      </w:r>
    </w:p>
    <w:p w:rsidR="00000000" w:rsidDel="00000000" w:rsidP="00000000" w:rsidRDefault="00000000" w:rsidRPr="00000000" w14:paraId="0000003D">
      <w:pPr>
        <w:spacing w:after="180" w:before="360" w:lineRule="auto"/>
        <w:rPr>
          <w:sz w:val="30"/>
          <w:szCs w:val="30"/>
        </w:rPr>
      </w:pPr>
      <w:r w:rsidDel="00000000" w:rsidR="00000000" w:rsidRPr="00000000">
        <w:rPr>
          <w:sz w:val="30"/>
          <w:szCs w:val="30"/>
          <w:rtl w:val="0"/>
        </w:rPr>
        <w:t xml:space="preserve">The Singapore Banking Focus</w:t>
      </w:r>
    </w:p>
    <w:p w:rsidR="00000000" w:rsidDel="00000000" w:rsidP="00000000" w:rsidRDefault="00000000" w:rsidRPr="00000000" w14:paraId="0000003E">
      <w:pPr>
        <w:spacing w:after="240" w:before="180" w:lineRule="auto"/>
        <w:rPr>
          <w:sz w:val="24"/>
          <w:szCs w:val="24"/>
        </w:rPr>
      </w:pPr>
      <w:r w:rsidDel="00000000" w:rsidR="00000000" w:rsidRPr="00000000">
        <w:rPr>
          <w:sz w:val="24"/>
          <w:szCs w:val="24"/>
          <w:rtl w:val="0"/>
        </w:rPr>
        <w:t xml:space="preserve">Singapore banks like DBS, OCBC, and UOB have established dominant, highly secure financial networks spanning Southeast Asia, Australasia, and India.</w:t>
      </w:r>
    </w:p>
    <w:p w:rsidR="00000000" w:rsidDel="00000000" w:rsidP="00000000" w:rsidRDefault="00000000" w:rsidRPr="00000000" w14:paraId="0000003F">
      <w:pPr>
        <w:numPr>
          <w:ilvl w:val="0"/>
          <w:numId w:val="6"/>
        </w:numPr>
        <w:spacing w:after="0" w:afterAutospacing="0" w:before="180" w:lineRule="auto"/>
        <w:ind w:left="720" w:hanging="360"/>
      </w:pPr>
      <w:r w:rsidDel="00000000" w:rsidR="00000000" w:rsidRPr="00000000">
        <w:rPr>
          <w:b w:val="1"/>
          <w:bCs w:val="1"/>
          <w:sz w:val="24"/>
          <w:szCs w:val="24"/>
          <w:rtl w:val="0"/>
        </w:rPr>
        <w:t xml:space="preserve">The Reality</w:t>
      </w:r>
      <w:r w:rsidDel="00000000" w:rsidR="00000000" w:rsidRPr="00000000">
        <w:rPr>
          <w:sz w:val="24"/>
          <w:szCs w:val="24"/>
          <w:rtl w:val="0"/>
        </w:rPr>
        <w:t xml:space="preserve">: Similar to Hong Kong, expect mandatory in-person director verification at a local Singapore branch before an account is approved.</w:t>
      </w:r>
    </w:p>
    <w:p w:rsidR="00000000" w:rsidDel="00000000" w:rsidP="00000000" w:rsidRDefault="00000000" w:rsidRPr="00000000" w14:paraId="00000040">
      <w:pPr>
        <w:numPr>
          <w:ilvl w:val="0"/>
          <w:numId w:val="6"/>
        </w:numPr>
        <w:spacing w:after="420" w:before="0" w:beforeAutospacing="0" w:lineRule="auto"/>
        <w:ind w:left="720" w:hanging="360"/>
      </w:pPr>
      <w:r w:rsidDel="00000000" w:rsidR="00000000" w:rsidRPr="00000000">
        <w:rPr>
          <w:b w:val="1"/>
          <w:bCs w:val="1"/>
          <w:sz w:val="24"/>
          <w:szCs w:val="24"/>
          <w:rtl w:val="0"/>
        </w:rPr>
        <w:t xml:space="preserve">Timeline</w:t>
      </w:r>
      <w:r w:rsidDel="00000000" w:rsidR="00000000" w:rsidRPr="00000000">
        <w:rPr>
          <w:sz w:val="24"/>
          <w:szCs w:val="24"/>
          <w:rtl w:val="0"/>
        </w:rPr>
        <w:t xml:space="preserve">: Due diligence is incredibly thorough, which results in rigorous compliance vetting but guarantees global institutional credibility once the corporate account goes live.</w:t>
      </w:r>
    </w:p>
    <w:p w:rsidR="00000000" w:rsidDel="00000000" w:rsidP="00000000" w:rsidRDefault="00000000" w:rsidRPr="00000000" w14:paraId="00000041">
      <w:pPr>
        <w:spacing w:after="180" w:before="360" w:lineRule="auto"/>
        <w:rPr>
          <w:b w:val="1"/>
          <w:bCs w:val="1"/>
          <w:sz w:val="24"/>
          <w:szCs w:val="24"/>
        </w:rPr>
      </w:pPr>
      <w:r w:rsidDel="00000000" w:rsidR="00000000" w:rsidRPr="00000000">
        <w:rPr>
          <w:b w:val="1"/>
          <w:bCs w:val="1"/>
          <w:sz w:val="24"/>
          <w:szCs w:val="24"/>
          <w:rtl w:val="0"/>
        </w:rPr>
        <w:t xml:space="preserve">Strategic Match</w:t>
      </w:r>
    </w:p>
    <w:p w:rsidR="00000000" w:rsidDel="00000000" w:rsidP="00000000" w:rsidRDefault="00000000" w:rsidRPr="00000000" w14:paraId="00000042">
      <w:pPr>
        <w:spacing w:after="240" w:before="180" w:lineRule="auto"/>
        <w:rPr>
          <w:sz w:val="24"/>
          <w:szCs w:val="24"/>
        </w:rPr>
      </w:pPr>
      <w:r w:rsidDel="00000000" w:rsidR="00000000" w:rsidRPr="00000000">
        <w:rPr>
          <w:sz w:val="24"/>
          <w:szCs w:val="24"/>
          <w:rtl w:val="0"/>
        </w:rPr>
        <w:t xml:space="preserve">If your digital enterprise needs to process payments smoothly in Renminbi (RMB) or transact directly with mainland Chinese business partners, a Hong Kong corporate account is unmatched. If your primary customer base or vendor contracts are distributed across emerging ASEAN economies or India, our dedicated Bank Account Opening protocols indicate that Singapore banking channels will deliver superior operational utility. Both markets feature an excellent selection of electronic money institutions (EMIs) to enable fast, remote multi-currency account setups.</w:t>
      </w:r>
    </w:p>
    <w:p w:rsidR="00000000" w:rsidDel="00000000" w:rsidP="00000000" w:rsidRDefault="00000000" w:rsidRPr="00000000" w14:paraId="00000043">
      <w:pPr>
        <w:spacing w:after="240" w:before="180" w:lineRule="auto"/>
        <w:rPr>
          <w:sz w:val="24"/>
          <w:szCs w:val="24"/>
        </w:rPr>
      </w:pPr>
      <w:r w:rsidDel="00000000" w:rsidR="00000000" w:rsidRPr="00000000">
        <w:rPr>
          <w:rtl w:val="0"/>
        </w:rPr>
      </w:r>
    </w:p>
    <w:p w:rsidR="00000000" w:rsidDel="00000000" w:rsidP="00000000" w:rsidRDefault="00000000" w:rsidRPr="00000000" w14:paraId="00000044">
      <w:pPr>
        <w:spacing w:after="240" w:before="180" w:lineRule="auto"/>
        <w:rPr>
          <w:sz w:val="24"/>
          <w:szCs w:val="24"/>
        </w:rPr>
      </w:pPr>
      <w:r w:rsidDel="00000000" w:rsidR="00000000" w:rsidRPr="00000000">
        <w:rPr>
          <w:rtl w:val="0"/>
        </w:rPr>
      </w:r>
    </w:p>
    <w:p w:rsidR="00000000" w:rsidDel="00000000" w:rsidP="00000000" w:rsidRDefault="00000000" w:rsidRPr="00000000" w14:paraId="00000045">
      <w:pPr>
        <w:spacing w:after="180" w:before="360" w:lineRule="auto"/>
        <w:rPr>
          <w:sz w:val="30"/>
          <w:szCs w:val="30"/>
        </w:rPr>
      </w:pPr>
      <w:r w:rsidDel="00000000" w:rsidR="00000000" w:rsidRPr="00000000">
        <w:rPr>
          <w:sz w:val="30"/>
          <w:szCs w:val="30"/>
          <w:rtl w:val="0"/>
        </w:rPr>
        <w:t xml:space="preserve">3. Jurisdictional Legal Frameworks</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Both destinations utilize an English common law legal architecture, ensuring commercial contracts, intellectual property rights, and corporate disputes are managed with extreme transparency and predictability.</w:t>
      </w:r>
    </w:p>
    <w:p w:rsidR="00000000" w:rsidDel="00000000" w:rsidP="00000000" w:rsidRDefault="00000000" w:rsidRPr="00000000" w14:paraId="00000047">
      <w:pPr>
        <w:numPr>
          <w:ilvl w:val="0"/>
          <w:numId w:val="3"/>
        </w:numPr>
        <w:spacing w:after="0" w:afterAutospacing="0" w:before="180" w:lineRule="auto"/>
        <w:ind w:left="720" w:hanging="360"/>
      </w:pPr>
      <w:r w:rsidDel="00000000" w:rsidR="00000000" w:rsidRPr="00000000">
        <w:rPr>
          <w:b w:val="1"/>
          <w:bCs w:val="1"/>
          <w:sz w:val="24"/>
          <w:szCs w:val="24"/>
          <w:rtl w:val="0"/>
        </w:rPr>
        <w:t xml:space="preserve">Hong Kong</w:t>
      </w:r>
      <w:r w:rsidDel="00000000" w:rsidR="00000000" w:rsidRPr="00000000">
        <w:rPr>
          <w:sz w:val="24"/>
          <w:szCs w:val="24"/>
          <w:rtl w:val="0"/>
        </w:rPr>
        <w:t xml:space="preserve">: Operates its legal system under the established "One Country, Two Systems" framework. It retains completely independent courts, separate commercial statutes, and a dedicated judiciary separate from mainland China.</w:t>
      </w:r>
    </w:p>
    <w:p w:rsidR="00000000" w:rsidDel="00000000" w:rsidP="00000000" w:rsidRDefault="00000000" w:rsidRPr="00000000" w14:paraId="00000048">
      <w:pPr>
        <w:numPr>
          <w:ilvl w:val="0"/>
          <w:numId w:val="3"/>
        </w:numPr>
        <w:spacing w:after="420" w:before="0" w:beforeAutospacing="0" w:lineRule="auto"/>
        <w:ind w:left="720" w:hanging="360"/>
      </w:pPr>
      <w:r w:rsidDel="00000000" w:rsidR="00000000" w:rsidRPr="00000000">
        <w:rPr>
          <w:b w:val="1"/>
          <w:bCs w:val="1"/>
          <w:sz w:val="24"/>
          <w:szCs w:val="24"/>
          <w:rtl w:val="0"/>
        </w:rPr>
        <w:t xml:space="preserve">Singapore</w:t>
      </w:r>
      <w:r w:rsidDel="00000000" w:rsidR="00000000" w:rsidRPr="00000000">
        <w:rPr>
          <w:sz w:val="24"/>
          <w:szCs w:val="24"/>
          <w:rtl w:val="0"/>
        </w:rPr>
        <w:t xml:space="preserve">: Governs as an entirely sovereign, independent republic.</w:t>
      </w:r>
    </w:p>
    <w:p w:rsidR="00000000" w:rsidDel="00000000" w:rsidP="00000000" w:rsidRDefault="00000000" w:rsidRPr="00000000" w14:paraId="00000049">
      <w:pPr>
        <w:spacing w:after="240" w:before="180" w:lineRule="auto"/>
        <w:rPr/>
      </w:pPr>
      <w:r w:rsidDel="00000000" w:rsidR="00000000" w:rsidRPr="00000000">
        <w:rPr>
          <w:sz w:val="24"/>
          <w:szCs w:val="24"/>
          <w:rtl w:val="0"/>
        </w:rPr>
        <w:t xml:space="preserve">For the vast majority of international enterprises, these two legal frameworks are functionally equivalent. Both offer elite international arbitration centers, deep benches of experienced commercial attorneys, and highly modernized corporate law codes designed to protect foreign investor capital.</w:t>
      </w:r>
      <w:r w:rsidDel="00000000" w:rsidR="00000000" w:rsidRPr="00000000">
        <w:rPr>
          <w:rtl w:val="0"/>
        </w:rPr>
      </w:r>
    </w:p>
    <w:p w:rsidR="00000000" w:rsidDel="00000000" w:rsidP="00000000" w:rsidRDefault="00000000" w:rsidRPr="00000000" w14:paraId="0000004A">
      <w:pPr>
        <w:spacing w:after="180" w:before="360" w:lineRule="auto"/>
        <w:rPr>
          <w:sz w:val="30"/>
          <w:szCs w:val="30"/>
        </w:rPr>
      </w:pPr>
      <w:r w:rsidDel="00000000" w:rsidR="00000000" w:rsidRPr="00000000">
        <w:rPr>
          <w:sz w:val="30"/>
          <w:szCs w:val="30"/>
          <w:rtl w:val="0"/>
        </w:rPr>
        <w:t xml:space="preserve">4. Market Connectivity and Geographic Scope</w:t>
      </w:r>
    </w:p>
    <w:p w:rsidR="00000000" w:rsidDel="00000000" w:rsidP="00000000" w:rsidRDefault="00000000" w:rsidRPr="00000000" w14:paraId="0000004B">
      <w:pPr>
        <w:spacing w:after="240" w:before="180" w:lineRule="auto"/>
        <w:rPr>
          <w:sz w:val="24"/>
          <w:szCs w:val="24"/>
        </w:rPr>
      </w:pPr>
      <w:r w:rsidDel="00000000" w:rsidR="00000000" w:rsidRPr="00000000">
        <w:rPr>
          <w:sz w:val="24"/>
          <w:szCs w:val="24"/>
          <w:rtl w:val="0"/>
        </w:rPr>
        <w:t xml:space="preserve">Geographic positioning is where the division between these two corporate hubs becomes most prominent.</w:t>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2.2121429036247"/>
        <w:gridCol w:w="2854.3491898223465"/>
        <w:gridCol w:w="3838.9504782976514"/>
        <w:tblGridChange w:id="0">
          <w:tblGrid>
            <w:gridCol w:w="2332.2121429036247"/>
            <w:gridCol w:w="2854.3491898223465"/>
            <w:gridCol w:w="3838.95047829765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Hong Kong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Singapore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Positioning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Gateway to China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Gateway to Southeast Asia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Primary 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ASEAN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Financial Advantage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Direct Stock Connects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Regional financial hub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Trade &amp;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RMB Currency Corridors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Powerful FTAs with India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Strategic 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Direct Mainland proximity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Core base for emerging markets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Market 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Access to China's economy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Access to 660M+ ASEAN consumers</w:t>
            </w:r>
          </w:p>
        </w:tc>
      </w:tr>
    </w:tbl>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3">
      <w:pPr>
        <w:spacing w:after="180" w:before="360" w:lineRule="auto"/>
        <w:rPr>
          <w:sz w:val="30"/>
          <w:szCs w:val="30"/>
        </w:rPr>
      </w:pPr>
      <w:r w:rsidDel="00000000" w:rsidR="00000000" w:rsidRPr="00000000">
        <w:rPr>
          <w:sz w:val="30"/>
          <w:szCs w:val="30"/>
          <w:rtl w:val="0"/>
        </w:rPr>
        <w:t xml:space="preserve">Hong Kong: The Mainland Conduit</w:t>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Hong Kong serves as the primary financial gateway into mainland China. It features specialized stock connect programs with Shanghai and Shenzhen, deep offshore liquidity pools for the RMB, and structural trade channels that make commercial cross-border transactions into China significantly simpler. If your key manufacturing facilities, downstream suppliers, or primary customer bases are located inside China, Hong Kong puts your company right next to them.</w:t>
      </w:r>
    </w:p>
    <w:p w:rsidR="00000000" w:rsidDel="00000000" w:rsidP="00000000" w:rsidRDefault="00000000" w:rsidRPr="00000000" w14:paraId="00000065">
      <w:pPr>
        <w:spacing w:after="180" w:before="360" w:lineRule="auto"/>
        <w:rPr>
          <w:sz w:val="30"/>
          <w:szCs w:val="30"/>
        </w:rPr>
      </w:pPr>
      <w:r w:rsidDel="00000000" w:rsidR="00000000" w:rsidRPr="00000000">
        <w:rPr>
          <w:sz w:val="30"/>
          <w:szCs w:val="30"/>
          <w:rtl w:val="0"/>
        </w:rPr>
        <w:t xml:space="preserve">Singapore: The ASEAN Anchor</w:t>
      </w:r>
    </w:p>
    <w:p w:rsidR="00000000" w:rsidDel="00000000" w:rsidP="00000000" w:rsidRDefault="00000000" w:rsidRPr="00000000" w14:paraId="00000066">
      <w:pPr>
        <w:spacing w:after="240" w:before="180" w:lineRule="auto"/>
        <w:rPr/>
      </w:pPr>
      <w:r w:rsidDel="00000000" w:rsidR="00000000" w:rsidRPr="00000000">
        <w:rPr>
          <w:sz w:val="24"/>
          <w:szCs w:val="24"/>
          <w:rtl w:val="0"/>
        </w:rPr>
        <w:t xml:space="preserve">Singapore is the undisputed operational gateway into Southeast Asia. Positioned dead-center of a high-growth region comprising over 660 million consumers across the ASEAN member states, Singapore also maintains deep commercial, financial, and tax treaty links with India. For scalable ventures targeting rapid growth inside Indonesia, Vietnam, Thailand, Malaysia, or the Indian market, Singapore provides a seamless regional base.</w:t>
      </w:r>
      <w:r w:rsidDel="00000000" w:rsidR="00000000" w:rsidRPr="00000000">
        <w:rPr>
          <w:rtl w:val="0"/>
        </w:rPr>
      </w:r>
    </w:p>
    <w:p w:rsidR="00000000" w:rsidDel="00000000" w:rsidP="00000000" w:rsidRDefault="00000000" w:rsidRPr="00000000" w14:paraId="00000067">
      <w:pPr>
        <w:spacing w:after="180" w:before="360" w:lineRule="auto"/>
        <w:rPr>
          <w:sz w:val="30"/>
          <w:szCs w:val="30"/>
        </w:rPr>
      </w:pPr>
      <w:r w:rsidDel="00000000" w:rsidR="00000000" w:rsidRPr="00000000">
        <w:rPr>
          <w:sz w:val="30"/>
          <w:szCs w:val="30"/>
          <w:rtl w:val="0"/>
        </w:rPr>
        <w:t xml:space="preserve">5. Operating Costs and Corporate Infrastructure</w:t>
      </w:r>
    </w:p>
    <w:p w:rsidR="00000000" w:rsidDel="00000000" w:rsidP="00000000" w:rsidRDefault="00000000" w:rsidRPr="00000000" w14:paraId="00000068">
      <w:pPr>
        <w:spacing w:after="240" w:before="180" w:lineRule="auto"/>
        <w:rPr>
          <w:sz w:val="24"/>
          <w:szCs w:val="24"/>
        </w:rPr>
      </w:pPr>
      <w:r w:rsidDel="00000000" w:rsidR="00000000" w:rsidRPr="00000000">
        <w:rPr>
          <w:sz w:val="24"/>
          <w:szCs w:val="24"/>
          <w:rtl w:val="0"/>
        </w:rPr>
        <w:t xml:space="preserve">Maintaining an international corporate structure requires evaluating physical overhead, human capital, and flexible workspace options.</w:t>
      </w:r>
    </w:p>
    <w:p w:rsidR="00000000" w:rsidDel="00000000" w:rsidP="00000000" w:rsidRDefault="00000000" w:rsidRPr="00000000" w14:paraId="00000069">
      <w:pPr>
        <w:numPr>
          <w:ilvl w:val="0"/>
          <w:numId w:val="7"/>
        </w:numPr>
        <w:spacing w:after="0" w:afterAutospacing="0" w:before="180" w:lineRule="auto"/>
        <w:ind w:left="720" w:hanging="360"/>
      </w:pPr>
      <w:r w:rsidDel="00000000" w:rsidR="00000000" w:rsidRPr="00000000">
        <w:rPr>
          <w:b w:val="1"/>
          <w:bCs w:val="1"/>
          <w:sz w:val="24"/>
          <w:szCs w:val="24"/>
          <w:rtl w:val="0"/>
        </w:rPr>
        <w:t xml:space="preserve">Commercial Real Estate</w:t>
      </w:r>
      <w:r w:rsidDel="00000000" w:rsidR="00000000" w:rsidRPr="00000000">
        <w:rPr>
          <w:sz w:val="24"/>
          <w:szCs w:val="24"/>
          <w:rtl w:val="0"/>
        </w:rPr>
        <w:t xml:space="preserve">: Singapore is undeniably a premium cost market, but Hong Kong is generally more expensive when securing physical commercial real estate. Commercial office rents within Hong Kong's central business districts consistently rank among the highest worldwide. Singapore's central business district space is more competitive by comparison, though still a major operational consideration.</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Human Capital</w:t>
      </w:r>
      <w:r w:rsidDel="00000000" w:rsidR="00000000" w:rsidRPr="00000000">
        <w:rPr>
          <w:sz w:val="24"/>
          <w:szCs w:val="24"/>
          <w:rtl w:val="0"/>
        </w:rPr>
        <w:t xml:space="preserve">: Salary expectations and recruitment costs for high-tier professional talent are broadly aligned in both cities. Both hubs actively draw top-tier global executives, tech talent, and financial specialists.</w:t>
      </w:r>
    </w:p>
    <w:p w:rsidR="00000000" w:rsidDel="00000000" w:rsidP="00000000" w:rsidRDefault="00000000" w:rsidRPr="00000000" w14:paraId="0000006B">
      <w:pPr>
        <w:numPr>
          <w:ilvl w:val="0"/>
          <w:numId w:val="7"/>
        </w:numPr>
        <w:spacing w:after="420" w:before="0" w:beforeAutospacing="0" w:lineRule="auto"/>
        <w:ind w:left="720" w:hanging="360"/>
      </w:pPr>
      <w:r w:rsidDel="00000000" w:rsidR="00000000" w:rsidRPr="00000000">
        <w:rPr>
          <w:b w:val="1"/>
          <w:bCs w:val="1"/>
          <w:sz w:val="24"/>
          <w:szCs w:val="24"/>
          <w:rtl w:val="0"/>
        </w:rPr>
        <w:t xml:space="preserve">Startup Infrastructure</w:t>
      </w:r>
      <w:r w:rsidDel="00000000" w:rsidR="00000000" w:rsidRPr="00000000">
        <w:rPr>
          <w:sz w:val="24"/>
          <w:szCs w:val="24"/>
          <w:rtl w:val="0"/>
        </w:rPr>
        <w:t xml:space="preserve">: Singapore currently offers a broader, more diversified selection of flexible co-working networks, digital incubation hubs, and shared desk spaces, which helps early-stage teams minimize initial operational cash burn.</w:t>
      </w:r>
      <w:r w:rsidDel="00000000" w:rsidR="00000000" w:rsidRPr="00000000">
        <w:rPr>
          <w:rtl w:val="0"/>
        </w:rPr>
      </w:r>
    </w:p>
    <w:p w:rsidR="00000000" w:rsidDel="00000000" w:rsidP="00000000" w:rsidRDefault="00000000" w:rsidRPr="00000000" w14:paraId="0000006C">
      <w:pPr>
        <w:spacing w:after="180" w:before="360" w:lineRule="auto"/>
        <w:rPr>
          <w:sz w:val="30"/>
          <w:szCs w:val="30"/>
        </w:rPr>
      </w:pPr>
      <w:r w:rsidDel="00000000" w:rsidR="00000000" w:rsidRPr="00000000">
        <w:rPr>
          <w:sz w:val="30"/>
          <w:szCs w:val="30"/>
          <w:rtl w:val="0"/>
        </w:rPr>
        <w:t xml:space="preserve">6. Registry Processes and Formation Criteria</w:t>
      </w:r>
    </w:p>
    <w:p w:rsidR="00000000" w:rsidDel="00000000" w:rsidP="00000000" w:rsidRDefault="00000000" w:rsidRPr="00000000" w14:paraId="0000006D">
      <w:pPr>
        <w:spacing w:after="240" w:before="180" w:lineRule="auto"/>
        <w:rPr>
          <w:sz w:val="24"/>
          <w:szCs w:val="24"/>
        </w:rPr>
      </w:pPr>
      <w:r w:rsidDel="00000000" w:rsidR="00000000" w:rsidRPr="00000000">
        <w:rPr>
          <w:sz w:val="24"/>
          <w:szCs w:val="24"/>
          <w:rtl w:val="0"/>
        </w:rPr>
        <w:t xml:space="preserve">Both financial capitals offer rapid, modernized, fully digitized company registries that allow foreign founders to complete the initial setup without ever visiting the jurisdiction.</w:t>
      </w:r>
    </w:p>
    <w:p w:rsidR="00000000" w:rsidDel="00000000" w:rsidP="00000000" w:rsidRDefault="00000000" w:rsidRPr="00000000" w14:paraId="0000006E">
      <w:pPr>
        <w:spacing w:after="180" w:before="360" w:lineRule="auto"/>
        <w:rPr>
          <w:sz w:val="30"/>
          <w:szCs w:val="30"/>
        </w:rPr>
      </w:pPr>
      <w:r w:rsidDel="00000000" w:rsidR="00000000" w:rsidRPr="00000000">
        <w:rPr>
          <w:sz w:val="30"/>
          <w:szCs w:val="30"/>
          <w:rtl w:val="0"/>
        </w:rPr>
        <w:t xml:space="preserve">Hong Kong Formation Mechanics</w:t>
      </w:r>
    </w:p>
    <w:p w:rsidR="00000000" w:rsidDel="00000000" w:rsidP="00000000" w:rsidRDefault="00000000" w:rsidRPr="00000000" w14:paraId="0000006F">
      <w:pPr>
        <w:spacing w:after="240" w:before="180" w:lineRule="auto"/>
        <w:rPr>
          <w:sz w:val="24"/>
          <w:szCs w:val="24"/>
        </w:rPr>
      </w:pPr>
      <w:r w:rsidDel="00000000" w:rsidR="00000000" w:rsidRPr="00000000">
        <w:rPr>
          <w:sz w:val="24"/>
          <w:szCs w:val="24"/>
          <w:rtl w:val="0"/>
        </w:rPr>
        <w:t xml:space="preserve">Corporate setup via the Hong Kong Companies Registry is remarkably smooth, generally completing within one to two business days.</w:t>
      </w:r>
    </w:p>
    <w:p w:rsidR="00000000" w:rsidDel="00000000" w:rsidP="00000000" w:rsidRDefault="00000000" w:rsidRPr="00000000" w14:paraId="00000070">
      <w:pPr>
        <w:numPr>
          <w:ilvl w:val="0"/>
          <w:numId w:val="2"/>
        </w:numPr>
        <w:spacing w:after="0" w:afterAutospacing="0" w:before="180" w:lineRule="auto"/>
        <w:ind w:left="720" w:hanging="360"/>
      </w:pPr>
      <w:r w:rsidDel="00000000" w:rsidR="00000000" w:rsidRPr="00000000">
        <w:rPr>
          <w:b w:val="1"/>
          <w:bCs w:val="1"/>
          <w:sz w:val="24"/>
          <w:szCs w:val="24"/>
          <w:rtl w:val="0"/>
        </w:rPr>
        <w:t xml:space="preserve">Director Requirements</w:t>
      </w:r>
      <w:r w:rsidDel="00000000" w:rsidR="00000000" w:rsidRPr="00000000">
        <w:rPr>
          <w:sz w:val="24"/>
          <w:szCs w:val="24"/>
          <w:rtl w:val="0"/>
        </w:rPr>
        <w:t xml:space="preserve">: There is no mandatory requirement to appoint a local resident director. Foreign individuals of any nationality can hold full management control.</w:t>
      </w:r>
    </w:p>
    <w:p w:rsidR="00000000" w:rsidDel="00000000" w:rsidP="00000000" w:rsidRDefault="00000000" w:rsidRPr="00000000" w14:paraId="00000071">
      <w:pPr>
        <w:numPr>
          <w:ilvl w:val="0"/>
          <w:numId w:val="2"/>
        </w:numPr>
        <w:spacing w:after="420" w:before="0" w:beforeAutospacing="0" w:lineRule="auto"/>
        <w:ind w:left="720" w:hanging="360"/>
      </w:pPr>
      <w:r w:rsidDel="00000000" w:rsidR="00000000" w:rsidRPr="00000000">
        <w:rPr>
          <w:b w:val="1"/>
          <w:bCs w:val="1"/>
          <w:sz w:val="24"/>
          <w:szCs w:val="24"/>
          <w:rtl w:val="0"/>
        </w:rPr>
        <w:t xml:space="preserve">Local Prerequisites</w:t>
      </w:r>
      <w:r w:rsidDel="00000000" w:rsidR="00000000" w:rsidRPr="00000000">
        <w:rPr>
          <w:sz w:val="24"/>
          <w:szCs w:val="24"/>
          <w:rtl w:val="0"/>
        </w:rPr>
        <w:t xml:space="preserve">: The entity simply requires a local registered office address and a licensed resident company secretary.</w:t>
      </w:r>
    </w:p>
    <w:p w:rsidR="00000000" w:rsidDel="00000000" w:rsidP="00000000" w:rsidRDefault="00000000" w:rsidRPr="00000000" w14:paraId="00000072">
      <w:pPr>
        <w:spacing w:after="240" w:before="180" w:lineRule="auto"/>
        <w:rPr>
          <w:i w:val="1"/>
          <w:iCs w:val="1"/>
          <w:sz w:val="24"/>
          <w:szCs w:val="24"/>
        </w:rPr>
      </w:pPr>
      <w:r w:rsidDel="00000000" w:rsidR="00000000" w:rsidRPr="00000000">
        <w:rPr>
          <w:i w:val="1"/>
          <w:iCs w:val="1"/>
          <w:sz w:val="24"/>
          <w:szCs w:val="24"/>
          <w:rtl w:val="0"/>
        </w:rPr>
        <w:t xml:space="preserve">Explore the step-by-step setup framework via our dedicated Hong Kong Company Registration blueprint.</w:t>
      </w:r>
    </w:p>
    <w:p w:rsidR="00000000" w:rsidDel="00000000" w:rsidP="00000000" w:rsidRDefault="00000000" w:rsidRPr="00000000" w14:paraId="00000073">
      <w:pPr>
        <w:spacing w:after="180" w:before="360" w:lineRule="auto"/>
        <w:rPr>
          <w:sz w:val="30"/>
          <w:szCs w:val="30"/>
        </w:rPr>
      </w:pPr>
      <w:r w:rsidDel="00000000" w:rsidR="00000000" w:rsidRPr="00000000">
        <w:rPr>
          <w:sz w:val="30"/>
          <w:szCs w:val="30"/>
          <w:rtl w:val="0"/>
        </w:rPr>
        <w:t xml:space="preserve">Singapore Formation Mechanics</w:t>
      </w:r>
    </w:p>
    <w:p w:rsidR="00000000" w:rsidDel="00000000" w:rsidP="00000000" w:rsidRDefault="00000000" w:rsidRPr="00000000" w14:paraId="00000074">
      <w:pPr>
        <w:spacing w:after="240" w:before="180" w:lineRule="auto"/>
        <w:rPr>
          <w:sz w:val="24"/>
          <w:szCs w:val="24"/>
        </w:rPr>
      </w:pPr>
      <w:r w:rsidDel="00000000" w:rsidR="00000000" w:rsidRPr="00000000">
        <w:rPr>
          <w:sz w:val="24"/>
          <w:szCs w:val="24"/>
          <w:rtl w:val="0"/>
        </w:rPr>
        <w:t xml:space="preserve">Incorporation via Singapore’s Accounting and Corporate Regulatory Authority (ACRA) follows a similarly rapid digital timeline, typically taking under 48 hours.</w:t>
      </w:r>
    </w:p>
    <w:p w:rsidR="00000000" w:rsidDel="00000000" w:rsidP="00000000" w:rsidRDefault="00000000" w:rsidRPr="00000000" w14:paraId="00000075">
      <w:pPr>
        <w:numPr>
          <w:ilvl w:val="0"/>
          <w:numId w:val="1"/>
        </w:numPr>
        <w:spacing w:after="0" w:afterAutospacing="0" w:before="180" w:lineRule="auto"/>
        <w:ind w:left="720" w:hanging="360"/>
      </w:pPr>
      <w:r w:rsidDel="00000000" w:rsidR="00000000" w:rsidRPr="00000000">
        <w:rPr>
          <w:b w:val="1"/>
          <w:bCs w:val="1"/>
          <w:sz w:val="24"/>
          <w:szCs w:val="24"/>
          <w:rtl w:val="0"/>
        </w:rPr>
        <w:t xml:space="preserve">Director Requirements</w:t>
      </w:r>
      <w:r w:rsidDel="00000000" w:rsidR="00000000" w:rsidRPr="00000000">
        <w:rPr>
          <w:sz w:val="24"/>
          <w:szCs w:val="24"/>
          <w:rtl w:val="0"/>
        </w:rPr>
        <w:t xml:space="preserve">: Singapore corporate law enforces a strict statutory mandate requiring at least one ordinarily resident local director to sit on the board.</w:t>
      </w:r>
    </w:p>
    <w:p w:rsidR="00000000" w:rsidDel="00000000" w:rsidP="00000000" w:rsidRDefault="00000000" w:rsidRPr="00000000" w14:paraId="00000076">
      <w:pPr>
        <w:numPr>
          <w:ilvl w:val="0"/>
          <w:numId w:val="1"/>
        </w:numPr>
        <w:spacing w:after="420" w:before="0" w:beforeAutospacing="0" w:lineRule="auto"/>
        <w:ind w:left="720" w:hanging="360"/>
      </w:pPr>
      <w:r w:rsidDel="00000000" w:rsidR="00000000" w:rsidRPr="00000000">
        <w:rPr>
          <w:b w:val="1"/>
          <w:bCs w:val="1"/>
          <w:sz w:val="24"/>
          <w:szCs w:val="24"/>
          <w:rtl w:val="0"/>
        </w:rPr>
        <w:t xml:space="preserve">Local Prerequisites</w:t>
      </w:r>
      <w:r w:rsidDel="00000000" w:rsidR="00000000" w:rsidRPr="00000000">
        <w:rPr>
          <w:sz w:val="24"/>
          <w:szCs w:val="24"/>
          <w:rtl w:val="0"/>
        </w:rPr>
        <w:t xml:space="preserve">: If your management team does not have a local representative residing in the country, you must engage a nominee director service to satisfy this registration rule, which introduces incremental annual corporate maintenance costs.</w:t>
      </w:r>
    </w:p>
    <w:p w:rsidR="00000000" w:rsidDel="00000000" w:rsidP="00000000" w:rsidRDefault="00000000" w:rsidRPr="00000000" w14:paraId="00000077">
      <w:pPr>
        <w:spacing w:after="240" w:before="180" w:lineRule="auto"/>
        <w:rPr/>
      </w:pPr>
      <w:r w:rsidDel="00000000" w:rsidR="00000000" w:rsidRPr="00000000">
        <w:rPr>
          <w:i w:val="1"/>
          <w:iCs w:val="1"/>
          <w:sz w:val="24"/>
          <w:szCs w:val="24"/>
          <w:rtl w:val="0"/>
        </w:rPr>
        <w:t xml:space="preserve">Review the compliance and resident structure checklists on our comprehensive Singapore Company setup guide.</w:t>
      </w:r>
      <w:r w:rsidDel="00000000" w:rsidR="00000000" w:rsidRPr="00000000">
        <w:rPr>
          <w:rtl w:val="0"/>
        </w:rPr>
      </w:r>
    </w:p>
    <w:p w:rsidR="00000000" w:rsidDel="00000000" w:rsidP="00000000" w:rsidRDefault="00000000" w:rsidRPr="00000000" w14:paraId="00000078">
      <w:pPr>
        <w:spacing w:after="180" w:before="360" w:lineRule="auto"/>
        <w:rPr>
          <w:sz w:val="30"/>
          <w:szCs w:val="30"/>
        </w:rPr>
      </w:pPr>
      <w:r w:rsidDel="00000000" w:rsidR="00000000" w:rsidRPr="00000000">
        <w:rPr>
          <w:sz w:val="30"/>
          <w:szCs w:val="30"/>
          <w:rtl w:val="0"/>
        </w:rPr>
        <w:t xml:space="preserve">At-a-Glance Jurisdictional Comparison</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9.3007572618017"/>
        <w:gridCol w:w="3473.934370643861"/>
        <w:gridCol w:w="3632.2766831179597"/>
        <w:tblGridChange w:id="0">
          <w:tblGrid>
            <w:gridCol w:w="1919.3007572618017"/>
            <w:gridCol w:w="3473.934370643861"/>
            <w:gridCol w:w="3632.2766831179597"/>
          </w:tblGrid>
        </w:tblGridChange>
      </w:tblGrid>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80" w:before="60" w:lineRule="auto"/>
              <w:jc w:val="center"/>
              <w:rPr>
                <w:sz w:val="21"/>
                <w:szCs w:val="21"/>
              </w:rPr>
            </w:pPr>
            <w:r w:rsidDel="00000000" w:rsidR="00000000" w:rsidRPr="00000000">
              <w:rPr>
                <w:b w:val="1"/>
                <w:bCs w:val="1"/>
                <w:sz w:val="21"/>
                <w:szCs w:val="21"/>
                <w:rtl w:val="0"/>
              </w:rPr>
              <w:t xml:space="preserve">Operational Feature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80" w:before="60" w:lineRule="auto"/>
              <w:jc w:val="center"/>
              <w:rPr>
                <w:sz w:val="21"/>
                <w:szCs w:val="21"/>
              </w:rPr>
            </w:pPr>
            <w:r w:rsidDel="00000000" w:rsidR="00000000" w:rsidRPr="00000000">
              <w:rPr>
                <w:b w:val="1"/>
                <w:bCs w:val="1"/>
                <w:sz w:val="21"/>
                <w:szCs w:val="21"/>
                <w:rtl w:val="0"/>
              </w:rPr>
              <w:t xml:space="preserve">Hong Kong</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80" w:before="60" w:lineRule="auto"/>
              <w:jc w:val="center"/>
              <w:rPr>
                <w:sz w:val="21"/>
                <w:szCs w:val="21"/>
              </w:rPr>
            </w:pPr>
            <w:r w:rsidDel="00000000" w:rsidR="00000000" w:rsidRPr="00000000">
              <w:rPr>
                <w:b w:val="1"/>
                <w:bCs w:val="1"/>
                <w:sz w:val="21"/>
                <w:szCs w:val="21"/>
                <w:rtl w:val="0"/>
              </w:rPr>
              <w:t xml:space="preserve">Singapore</w:t>
            </w:r>
            <w:r w:rsidDel="00000000" w:rsidR="00000000" w:rsidRPr="00000000">
              <w:rPr>
                <w:rtl w:val="0"/>
              </w:rPr>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80" w:before="60" w:lineRule="auto"/>
              <w:rPr>
                <w:sz w:val="21"/>
                <w:szCs w:val="21"/>
              </w:rPr>
            </w:pPr>
            <w:r w:rsidDel="00000000" w:rsidR="00000000" w:rsidRPr="00000000">
              <w:rPr>
                <w:b w:val="1"/>
                <w:bCs w:val="1"/>
                <w:sz w:val="21"/>
                <w:szCs w:val="21"/>
                <w:rtl w:val="0"/>
              </w:rPr>
              <w:t xml:space="preserve">Tax Framework</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80" w:before="60" w:lineRule="auto"/>
              <w:rPr>
                <w:sz w:val="21"/>
                <w:szCs w:val="21"/>
              </w:rPr>
            </w:pPr>
            <w:r w:rsidDel="00000000" w:rsidR="00000000" w:rsidRPr="00000000">
              <w:rPr>
                <w:sz w:val="21"/>
                <w:szCs w:val="21"/>
                <w:rtl w:val="0"/>
              </w:rPr>
              <w:t xml:space="preserve">Pure territorial model; lower effective tax for offshore revenue</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80" w:before="60" w:lineRule="auto"/>
              <w:rPr>
                <w:sz w:val="21"/>
                <w:szCs w:val="21"/>
              </w:rPr>
            </w:pPr>
            <w:r w:rsidDel="00000000" w:rsidR="00000000" w:rsidRPr="00000000">
              <w:rPr>
                <w:sz w:val="21"/>
                <w:szCs w:val="21"/>
                <w:rtl w:val="0"/>
              </w:rPr>
              <w:t xml:space="preserve">Worldwide model with robust exemptions; excellent for startups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80" w:before="60" w:lineRule="auto"/>
              <w:rPr>
                <w:sz w:val="21"/>
                <w:szCs w:val="21"/>
              </w:rPr>
            </w:pPr>
            <w:r w:rsidDel="00000000" w:rsidR="00000000" w:rsidRPr="00000000">
              <w:rPr>
                <w:b w:val="1"/>
                <w:bCs w:val="1"/>
                <w:sz w:val="21"/>
                <w:szCs w:val="21"/>
                <w:rtl w:val="0"/>
              </w:rPr>
              <w:t xml:space="preserve">Primary Banking Nexus</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80" w:before="60" w:lineRule="auto"/>
              <w:rPr>
                <w:sz w:val="21"/>
                <w:szCs w:val="21"/>
              </w:rPr>
            </w:pPr>
            <w:r w:rsidDel="00000000" w:rsidR="00000000" w:rsidRPr="00000000">
              <w:rPr>
                <w:sz w:val="21"/>
                <w:szCs w:val="21"/>
                <w:rtl w:val="0"/>
              </w:rPr>
              <w:t xml:space="preserve">Ideal for Greater China trade and offshore RMB processing</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80" w:before="60" w:lineRule="auto"/>
              <w:rPr>
                <w:sz w:val="21"/>
                <w:szCs w:val="21"/>
              </w:rPr>
            </w:pPr>
            <w:r w:rsidDel="00000000" w:rsidR="00000000" w:rsidRPr="00000000">
              <w:rPr>
                <w:sz w:val="21"/>
                <w:szCs w:val="21"/>
                <w:rtl w:val="0"/>
              </w:rPr>
              <w:t xml:space="preserve">Ideal for broader Southeast Asian trade and Indian markets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80" w:before="60" w:lineRule="auto"/>
              <w:rPr>
                <w:sz w:val="21"/>
                <w:szCs w:val="21"/>
              </w:rPr>
            </w:pPr>
            <w:r w:rsidDel="00000000" w:rsidR="00000000" w:rsidRPr="00000000">
              <w:rPr>
                <w:b w:val="1"/>
                <w:bCs w:val="1"/>
                <w:sz w:val="21"/>
                <w:szCs w:val="21"/>
                <w:rtl w:val="0"/>
              </w:rPr>
              <w:t xml:space="preserve">Legal System</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80" w:before="60" w:lineRule="auto"/>
              <w:rPr>
                <w:sz w:val="21"/>
                <w:szCs w:val="21"/>
              </w:rPr>
            </w:pPr>
            <w:r w:rsidDel="00000000" w:rsidR="00000000" w:rsidRPr="00000000">
              <w:rPr>
                <w:sz w:val="21"/>
                <w:szCs w:val="21"/>
                <w:rtl w:val="0"/>
              </w:rPr>
              <w:t xml:space="preserve">English common law under "One Country, Two Systems"</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80" w:before="60" w:lineRule="auto"/>
              <w:rPr>
                <w:sz w:val="21"/>
                <w:szCs w:val="21"/>
              </w:rPr>
            </w:pPr>
            <w:r w:rsidDel="00000000" w:rsidR="00000000" w:rsidRPr="00000000">
              <w:rPr>
                <w:sz w:val="21"/>
                <w:szCs w:val="21"/>
                <w:rtl w:val="0"/>
              </w:rPr>
              <w:t xml:space="preserve">English common law within a sovereign city-state</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80" w:before="60" w:lineRule="auto"/>
              <w:rPr>
                <w:sz w:val="21"/>
                <w:szCs w:val="21"/>
              </w:rPr>
            </w:pPr>
            <w:r w:rsidDel="00000000" w:rsidR="00000000" w:rsidRPr="00000000">
              <w:rPr>
                <w:b w:val="1"/>
                <w:bCs w:val="1"/>
                <w:sz w:val="21"/>
                <w:szCs w:val="21"/>
                <w:rtl w:val="0"/>
              </w:rPr>
              <w:t xml:space="preserve">Geographic Core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80" w:before="60" w:lineRule="auto"/>
              <w:rPr>
                <w:sz w:val="21"/>
                <w:szCs w:val="21"/>
              </w:rPr>
            </w:pPr>
            <w:r w:rsidDel="00000000" w:rsidR="00000000" w:rsidRPr="00000000">
              <w:rPr>
                <w:sz w:val="21"/>
                <w:szCs w:val="21"/>
                <w:rtl w:val="0"/>
              </w:rPr>
              <w:t xml:space="preserve">Immediate access to mainland China markets</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80" w:before="60" w:lineRule="auto"/>
              <w:rPr>
                <w:sz w:val="21"/>
                <w:szCs w:val="21"/>
              </w:rPr>
            </w:pPr>
            <w:r w:rsidDel="00000000" w:rsidR="00000000" w:rsidRPr="00000000">
              <w:rPr>
                <w:sz w:val="21"/>
                <w:szCs w:val="21"/>
                <w:rtl w:val="0"/>
              </w:rPr>
              <w:t xml:space="preserve">Immediate access to ASEAN trade blocs and India</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80" w:before="60" w:lineRule="auto"/>
              <w:rPr>
                <w:sz w:val="21"/>
                <w:szCs w:val="21"/>
              </w:rPr>
            </w:pPr>
            <w:r w:rsidDel="00000000" w:rsidR="00000000" w:rsidRPr="00000000">
              <w:rPr>
                <w:b w:val="1"/>
                <w:bCs w:val="1"/>
                <w:sz w:val="21"/>
                <w:szCs w:val="21"/>
                <w:rtl w:val="0"/>
              </w:rPr>
              <w:t xml:space="preserve">Director Mandates</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80" w:before="60" w:lineRule="auto"/>
              <w:rPr>
                <w:sz w:val="21"/>
                <w:szCs w:val="21"/>
              </w:rPr>
            </w:pPr>
            <w:r w:rsidDel="00000000" w:rsidR="00000000" w:rsidRPr="00000000">
              <w:rPr>
                <w:sz w:val="21"/>
                <w:szCs w:val="21"/>
                <w:rtl w:val="0"/>
              </w:rPr>
              <w:t xml:space="preserve">100% foreign directors permitted; no local resident required</w:t>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80" w:before="60" w:lineRule="auto"/>
              <w:rPr>
                <w:sz w:val="21"/>
                <w:szCs w:val="21"/>
              </w:rPr>
            </w:pPr>
            <w:r w:rsidDel="00000000" w:rsidR="00000000" w:rsidRPr="00000000">
              <w:rPr>
                <w:sz w:val="21"/>
                <w:szCs w:val="21"/>
                <w:rtl w:val="0"/>
              </w:rPr>
              <w:t xml:space="preserve">Mandatory appointment of at least one local resident director</w:t>
            </w:r>
          </w:p>
        </w:tc>
      </w:tr>
      <w:tr>
        <w:trPr>
          <w:cantSplit w:val="0"/>
          <w:trHeight w:val="740"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80" w:before="60" w:lineRule="auto"/>
              <w:rPr>
                <w:sz w:val="21"/>
                <w:szCs w:val="21"/>
              </w:rPr>
            </w:pPr>
            <w:r w:rsidDel="00000000" w:rsidR="00000000" w:rsidRPr="00000000">
              <w:rPr>
                <w:b w:val="1"/>
                <w:bCs w:val="1"/>
                <w:sz w:val="21"/>
                <w:szCs w:val="21"/>
                <w:rtl w:val="0"/>
              </w:rPr>
              <w:t xml:space="preserve">Setup Timeframe</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80" w:before="60" w:lineRule="auto"/>
              <w:rPr>
                <w:sz w:val="21"/>
                <w:szCs w:val="21"/>
              </w:rPr>
            </w:pPr>
            <w:r w:rsidDel="00000000" w:rsidR="00000000" w:rsidRPr="00000000">
              <w:rPr>
                <w:sz w:val="21"/>
                <w:szCs w:val="21"/>
                <w:rtl w:val="0"/>
              </w:rPr>
              <w:t xml:space="preserve">1 to 2 business days; fully remote digital filing</w:t>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80" w:before="60" w:lineRule="auto"/>
              <w:rPr>
                <w:sz w:val="21"/>
                <w:szCs w:val="21"/>
              </w:rPr>
            </w:pPr>
            <w:r w:rsidDel="00000000" w:rsidR="00000000" w:rsidRPr="00000000">
              <w:rPr>
                <w:sz w:val="21"/>
                <w:szCs w:val="21"/>
                <w:rtl w:val="0"/>
              </w:rPr>
              <w:t xml:space="preserve">1 to 2 business days; requires local nominee integration</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90">
      <w:pPr>
        <w:spacing w:after="180" w:before="360" w:lineRule="auto"/>
        <w:rPr>
          <w:b w:val="1"/>
          <w:bCs w:val="1"/>
          <w:sz w:val="24"/>
          <w:szCs w:val="24"/>
        </w:rPr>
      </w:pPr>
      <w:r w:rsidDel="00000000" w:rsidR="00000000" w:rsidRPr="00000000">
        <w:rPr>
          <w:b w:val="1"/>
          <w:bCs w:val="1"/>
          <w:sz w:val="24"/>
          <w:szCs w:val="24"/>
          <w:rtl w:val="0"/>
        </w:rPr>
        <w:t xml:space="preserve">Is Hong Kong or Singapore better for tax?</w:t>
      </w:r>
    </w:p>
    <w:p w:rsidR="00000000" w:rsidDel="00000000" w:rsidP="00000000" w:rsidRDefault="00000000" w:rsidRPr="00000000" w14:paraId="00000091">
      <w:pPr>
        <w:spacing w:after="240" w:before="180" w:lineRule="auto"/>
        <w:rPr>
          <w:sz w:val="24"/>
          <w:szCs w:val="24"/>
        </w:rPr>
      </w:pPr>
      <w:r w:rsidDel="00000000" w:rsidR="00000000" w:rsidRPr="00000000">
        <w:rPr>
          <w:sz w:val="24"/>
          <w:szCs w:val="24"/>
          <w:rtl w:val="0"/>
        </w:rPr>
        <w:t xml:space="preserve">The ideal choice depends entirely on the geographic source of your corporate revenue. Hong Kong’s pure territorial tax system allows companies to secure a 0% tax rate on entirely foreign-sourced profits. Singapore taxes corporate profits on a modified worldwide basis but provides substantial startup tax deductions that heavily lower the effective rate below 17% for the initial three years. For cross-border enterprises earning primarily outside their country of incorporation, Hong Kong frequently results in a lower net tax balance.</w:t>
      </w:r>
    </w:p>
    <w:p w:rsidR="00000000" w:rsidDel="00000000" w:rsidP="00000000" w:rsidRDefault="00000000" w:rsidRPr="00000000" w14:paraId="00000092">
      <w:pPr>
        <w:spacing w:after="180" w:before="360" w:lineRule="auto"/>
        <w:rPr>
          <w:b w:val="1"/>
          <w:bCs w:val="1"/>
          <w:sz w:val="24"/>
          <w:szCs w:val="24"/>
        </w:rPr>
      </w:pPr>
      <w:r w:rsidDel="00000000" w:rsidR="00000000" w:rsidRPr="00000000">
        <w:rPr>
          <w:b w:val="1"/>
          <w:bCs w:val="1"/>
          <w:sz w:val="24"/>
          <w:szCs w:val="24"/>
          <w:rtl w:val="0"/>
        </w:rPr>
        <w:t xml:space="preserve">Can I establish companies in both jurisdictions concurrently?</w:t>
      </w:r>
    </w:p>
    <w:p w:rsidR="00000000" w:rsidDel="00000000" w:rsidP="00000000" w:rsidRDefault="00000000" w:rsidRPr="00000000" w14:paraId="00000093">
      <w:pPr>
        <w:spacing w:after="240" w:before="180" w:lineRule="auto"/>
        <w:rPr>
          <w:sz w:val="24"/>
          <w:szCs w:val="24"/>
        </w:rPr>
      </w:pPr>
      <w:r w:rsidDel="00000000" w:rsidR="00000000" w:rsidRPr="00000000">
        <w:rPr>
          <w:sz w:val="24"/>
          <w:szCs w:val="24"/>
          <w:rtl w:val="0"/>
        </w:rPr>
        <w:t xml:space="preserve">Yes, absolutely. A significant percentage of scaling multinational enterprises maintain dual corporate structures in both Hong Kong and Singapore to tap into distinct regional banking networks and commercial markets simultaneously. This dual-entity configuration is highly popular among trading groups managing supply bases in China while serving consumer markets across Southeast Asia. While this approach introduces duplicate compliance duties, the commercial market access often outweighs the administrative maintenance.</w:t>
      </w:r>
    </w:p>
    <w:p w:rsidR="00000000" w:rsidDel="00000000" w:rsidP="00000000" w:rsidRDefault="00000000" w:rsidRPr="00000000" w14:paraId="00000094">
      <w:pPr>
        <w:spacing w:after="180" w:before="360" w:lineRule="auto"/>
        <w:rPr>
          <w:b w:val="1"/>
          <w:bCs w:val="1"/>
          <w:sz w:val="24"/>
          <w:szCs w:val="24"/>
        </w:rPr>
      </w:pPr>
      <w:r w:rsidDel="00000000" w:rsidR="00000000" w:rsidRPr="00000000">
        <w:rPr>
          <w:b w:val="1"/>
          <w:bCs w:val="1"/>
          <w:sz w:val="24"/>
          <w:szCs w:val="24"/>
          <w:rtl w:val="0"/>
        </w:rPr>
        <w:t xml:space="preserve">Which jurisdiction is simpler for foreign founders to register in?</w:t>
      </w:r>
    </w:p>
    <w:p w:rsidR="00000000" w:rsidDel="00000000" w:rsidP="00000000" w:rsidRDefault="00000000" w:rsidRPr="00000000" w14:paraId="00000095">
      <w:pPr>
        <w:spacing w:after="240" w:before="180" w:lineRule="auto"/>
        <w:rPr>
          <w:sz w:val="24"/>
          <w:szCs w:val="24"/>
        </w:rPr>
      </w:pPr>
      <w:r w:rsidDel="00000000" w:rsidR="00000000" w:rsidRPr="00000000">
        <w:rPr>
          <w:sz w:val="24"/>
          <w:szCs w:val="24"/>
          <w:rtl w:val="0"/>
        </w:rPr>
        <w:t xml:space="preserve">Both paths are fully streamlined and corporate registries operate completely online. However, Hong Kong is often considered simpler for international founders because it allows 100% foreign directors with zero residency conditions. Singapore enforces a strict rule requiring at least one local resident director, meaning foreign founders who do not plan to relocate immediately must arrange a local nominee director service to complete the incorporation.</w:t>
      </w:r>
    </w:p>
    <w:p w:rsidR="00000000" w:rsidDel="00000000" w:rsidP="00000000" w:rsidRDefault="00000000" w:rsidRPr="00000000" w14:paraId="00000096">
      <w:pPr>
        <w:spacing w:after="180" w:before="360" w:lineRule="auto"/>
        <w:rPr>
          <w:b w:val="1"/>
          <w:bCs w:val="1"/>
          <w:sz w:val="24"/>
          <w:szCs w:val="24"/>
        </w:rPr>
      </w:pPr>
      <w:r w:rsidDel="00000000" w:rsidR="00000000" w:rsidRPr="00000000">
        <w:rPr>
          <w:b w:val="1"/>
          <w:bCs w:val="1"/>
          <w:sz w:val="24"/>
          <w:szCs w:val="24"/>
          <w:rtl w:val="0"/>
        </w:rPr>
        <w:t xml:space="preserve">Which financial center offers better corporate banking?</w:t>
      </w:r>
    </w:p>
    <w:p w:rsidR="00000000" w:rsidDel="00000000" w:rsidP="00000000" w:rsidRDefault="00000000" w:rsidRPr="00000000" w14:paraId="00000097">
      <w:pPr>
        <w:spacing w:after="240" w:before="180" w:lineRule="auto"/>
        <w:rPr/>
      </w:pPr>
      <w:r w:rsidDel="00000000" w:rsidR="00000000" w:rsidRPr="00000000">
        <w:rPr>
          <w:sz w:val="24"/>
          <w:szCs w:val="24"/>
          <w:rtl w:val="0"/>
        </w:rPr>
        <w:t xml:space="preserve">Neither center is objectively superior; they serve distinct geographic flows. Hong Kong corporate banks provide deep infrastructure for managing trade inside mainland China and processing RMB-denominated payments. Singapore banks deliver extensive transactional networks throughout Southeast Asia and the Indian subcontinent. Both financial capitals give your business access to top-tier international institutions, multi-currency accounts, and strict regulatory asset protection.</w:t>
      </w:r>
      <w:r w:rsidDel="00000000" w:rsidR="00000000" w:rsidRPr="00000000">
        <w:rPr>
          <w:rtl w:val="0"/>
        </w:rPr>
      </w:r>
    </w:p>
    <w:p w:rsidR="00000000" w:rsidDel="00000000" w:rsidP="00000000" w:rsidRDefault="00000000" w:rsidRPr="00000000" w14:paraId="00000098">
      <w:pPr>
        <w:spacing w:after="180" w:before="360" w:lineRule="auto"/>
        <w:rPr>
          <w:sz w:val="30"/>
          <w:szCs w:val="30"/>
        </w:rPr>
      </w:pPr>
      <w:r w:rsidDel="00000000" w:rsidR="00000000" w:rsidRPr="00000000">
        <w:rPr>
          <w:sz w:val="30"/>
          <w:szCs w:val="30"/>
          <w:rtl w:val="0"/>
        </w:rPr>
        <w:t xml:space="preserve">Our Structural Recommendation</w:t>
      </w:r>
    </w:p>
    <w:p w:rsidR="00000000" w:rsidDel="00000000" w:rsidP="00000000" w:rsidRDefault="00000000" w:rsidRPr="00000000" w14:paraId="00000099">
      <w:pPr>
        <w:spacing w:after="240" w:before="180" w:lineRule="auto"/>
        <w:rPr>
          <w:sz w:val="24"/>
          <w:szCs w:val="24"/>
        </w:rPr>
      </w:pPr>
      <w:r w:rsidDel="00000000" w:rsidR="00000000" w:rsidRPr="00000000">
        <w:rPr>
          <w:sz w:val="24"/>
          <w:szCs w:val="24"/>
          <w:rtl w:val="0"/>
        </w:rPr>
        <w:t xml:space="preserve">At LAINEXUS, we do not believe in a one-size-fits-all approach to global incorporation. Our advisory team evaluates your precise trade patterns, primary customer base, primary banking currencies, and local management preferences before mapping out the optimal corporate architecture.</w:t>
      </w:r>
    </w:p>
    <w:p w:rsidR="00000000" w:rsidDel="00000000" w:rsidP="00000000" w:rsidRDefault="00000000" w:rsidRPr="00000000" w14:paraId="0000009A">
      <w:pPr>
        <w:spacing w:after="240" w:before="180" w:lineRule="auto"/>
        <w:rPr/>
      </w:pPr>
      <w:r w:rsidDel="00000000" w:rsidR="00000000" w:rsidRPr="00000000">
        <w:rPr>
          <w:sz w:val="24"/>
          <w:szCs w:val="24"/>
          <w:rtl w:val="0"/>
        </w:rPr>
        <w:t xml:space="preserve">In many scenarios, scaling brands begin their international expansion in one market and systematically deploy a subsidiary in the other as their cross-border footprint expands. Reach out to our consulting team today to secure a tailored jurisdictional assessment for your enterprise.</w:t>
      </w:r>
      <w:r w:rsidDel="00000000" w:rsidR="00000000" w:rsidRPr="00000000">
        <w:rPr>
          <w:rtl w:val="0"/>
        </w:rPr>
      </w:r>
    </w:p>
    <w:p w:rsidR="00000000" w:rsidDel="00000000" w:rsidP="00000000" w:rsidRDefault="00000000" w:rsidRPr="00000000" w14:paraId="0000009B">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