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Page 17 of 30: Blog Index</w:t>
      </w:r>
    </w:p>
    <w:p w:rsidR="00000000" w:rsidDel="00000000" w:rsidP="00000000" w:rsidRDefault="00000000" w:rsidRPr="00000000" w14:paraId="0000000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SEO Metadata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9.07732249304"/>
        <w:gridCol w:w="7126.434488530584"/>
        <w:tblGridChange w:id="0">
          <w:tblGrid>
            <w:gridCol w:w="1899.07732249304"/>
            <w:gridCol w:w="7126.4344885305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/blog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| Global Business Insights | LAINEXUS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 the latest insights on offshore business, banking, and global expansion.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global business insights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dcdfe5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Index page - minimal copy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a0a0a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Schema Markup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a0a0a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schema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LAINEXUS Blog: Global Business Insights</w:t>
      </w:r>
    </w:p>
    <w:p w:rsidR="00000000" w:rsidDel="00000000" w:rsidP="00000000" w:rsidRDefault="00000000" w:rsidRPr="00000000" w14:paraId="00000015">
      <w:pPr>
        <w:spacing w:after="240" w:before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Welcome to the LAINEXUS intelligence hub. We deliver practical guides, operational jurisdiction breakdowns, and real-time updates on international corporate compliance. We don't publish filler or generic corporate jargon. Every resource on this page is engineered to help cross-border founders, digital entrepreneurs, and asset managers make highly calculated decisions about where and how to structure their global enterprises.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Core Intelligence Categories</w:t>
      </w:r>
    </w:p>
    <w:p w:rsidR="00000000" w:rsidDel="00000000" w:rsidP="00000000" w:rsidRDefault="00000000" w:rsidRPr="00000000" w14:paraId="0000001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our latest updates and deep-dives by operational department: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Corporate Registration</w:t>
      </w:r>
      <w:r w:rsidDel="00000000" w:rsidR="00000000" w:rsidRPr="00000000">
        <w:rPr>
          <w:sz w:val="24"/>
          <w:szCs w:val="24"/>
          <w:rtl w:val="0"/>
        </w:rPr>
        <w:t xml:space="preserve">: Step-by-step formation mechanics across 27+ international financial hubs.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Offshore Banking</w:t>
      </w:r>
      <w:r w:rsidDel="00000000" w:rsidR="00000000" w:rsidRPr="00000000">
        <w:rPr>
          <w:sz w:val="24"/>
          <w:szCs w:val="24"/>
          <w:rtl w:val="0"/>
        </w:rPr>
        <w:t xml:space="preserve">: Real-world walkthroughs covering institutional compliance, EMI platforms, and account approvals.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International Taxation</w:t>
      </w:r>
      <w:r w:rsidDel="00000000" w:rsidR="00000000" w:rsidRPr="00000000">
        <w:rPr>
          <w:sz w:val="24"/>
          <w:szCs w:val="24"/>
          <w:rtl w:val="0"/>
        </w:rPr>
        <w:t xml:space="preserve">: Updates on the Common Reporting Standard (CRS 2.0), economic substance rules, and corporate structures.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Jurisdictional Comparisons</w:t>
      </w:r>
      <w:r w:rsidDel="00000000" w:rsidR="00000000" w:rsidRPr="00000000">
        <w:rPr>
          <w:sz w:val="24"/>
          <w:szCs w:val="24"/>
          <w:rtl w:val="0"/>
        </w:rPr>
        <w:t xml:space="preserve">: Side-by-side analyses evaluating regulatory costs, legal frameworks, and market connectivity.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Featured Briefings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B1: Best Offshore Banks for Business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An unvarnished analysis of what compliance officers actually check during international corporate bank onboarding. Learn how to pair your company with traditional tier-one networks or fast-track your multi-currency processing using modern EMIs.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B2: Hong Kong vs. Singapore for Business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 definitive comparison of Asia's premier financial capitals. We contrast Hong Kong's strict territorial tax extraction with Singapore's startup tax exemption schemes to identify the most profitable home for your venture.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B3: How to Register an Offshore Company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Our comprehensive, seven-step blueprint to cross-border incorporation. Discover how to prepare an unblemished KYC portfolio, select the right entity structure, and protect your corporate assets from day one.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B4: LAINEXUS vs. Other Providers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An honest look at our operational model, detailing how we advise international founders and why we openly turn away structures that don't fit our clients' long-term business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 a Tailored Structural Assessment</w:t>
      </w:r>
    </w:p>
    <w:p w:rsidR="00000000" w:rsidDel="00000000" w:rsidP="00000000" w:rsidRDefault="00000000" w:rsidRPr="00000000" w14:paraId="00000022">
      <w:pPr>
        <w:spacing w:after="240" w:before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Don't spend hours trying to figure out shifting international regulations on your own. Our expert consulting team will directly evaluate your cross-border business model, target markets, and banking preferences to deliver a reliable corporate blueprint tailored for your business. Return to 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Homepage</w:t>
      </w:r>
      <w:r w:rsidDel="00000000" w:rsidR="00000000" w:rsidRPr="00000000">
        <w:rPr>
          <w:sz w:val="24"/>
          <w:szCs w:val="24"/>
          <w:rtl w:val="0"/>
        </w:rPr>
        <w:t xml:space="preserve"> to schedule a consultation, or reach out to our international advisory team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