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C84AA" w14:textId="77777777" w:rsidR="003029B2" w:rsidRDefault="00000000">
      <w:r>
        <w:rPr>
          <w:b/>
          <w:bCs/>
          <w:color w:val="B8860B"/>
          <w:sz w:val="20"/>
          <w:szCs w:val="20"/>
        </w:rPr>
        <w:t>HUMANIZED VERSION</w:t>
      </w:r>
    </w:p>
    <w:p w14:paraId="19AA53D0" w14:textId="77777777" w:rsidR="003029B2" w:rsidRDefault="00000000">
      <w:pPr>
        <w:spacing w:after="300"/>
      </w:pPr>
      <w:r>
        <w:rPr>
          <w:color w:val="6B7280"/>
          <w:sz w:val="18"/>
          <w:szCs w:val="18"/>
        </w:rPr>
        <w:t>Page 10 of 30: International Tax Advisory</w:t>
      </w:r>
    </w:p>
    <w:p w14:paraId="365E1553" w14:textId="77777777" w:rsidR="003029B2" w:rsidRDefault="00000000">
      <w:pPr>
        <w:pStyle w:val="Heading2"/>
        <w:spacing w:before="260" w:after="120"/>
      </w:pPr>
      <w:r>
        <w:t>SEO Metadata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3029B2" w14:paraId="6DC91328" w14:textId="77777777">
        <w:tblPrEx>
          <w:tblCellMar>
            <w:top w:w="0" w:type="dxa"/>
            <w:bottom w:w="0" w:type="dxa"/>
          </w:tblCellMar>
        </w:tblPrEx>
        <w:tc>
          <w:tcPr>
            <w:tcW w:w="2200" w:type="dxa"/>
            <w:shd w:val="clear" w:color="auto" w:fill="1F2937"/>
          </w:tcPr>
          <w:p w14:paraId="5264E4EC" w14:textId="77777777" w:rsidR="003029B2" w:rsidRDefault="00000000">
            <w:r>
              <w:rPr>
                <w:b/>
                <w:bCs/>
                <w:color w:val="FFFFFF"/>
                <w:sz w:val="19"/>
                <w:szCs w:val="19"/>
              </w:rPr>
              <w:t>URL</w:t>
            </w:r>
          </w:p>
        </w:tc>
        <w:tc>
          <w:tcPr>
            <w:tcW w:w="7150" w:type="dxa"/>
          </w:tcPr>
          <w:p w14:paraId="03AF0E6D" w14:textId="77777777" w:rsidR="003029B2" w:rsidRDefault="00000000">
            <w:r>
              <w:rPr>
                <w:sz w:val="19"/>
                <w:szCs w:val="19"/>
              </w:rPr>
              <w:t>/services/taxation</w:t>
            </w:r>
          </w:p>
        </w:tc>
      </w:tr>
      <w:tr w:rsidR="003029B2" w14:paraId="0FA7BE9B" w14:textId="77777777">
        <w:tblPrEx>
          <w:tblCellMar>
            <w:top w:w="0" w:type="dxa"/>
            <w:bottom w:w="0" w:type="dxa"/>
          </w:tblCellMar>
        </w:tblPrEx>
        <w:tc>
          <w:tcPr>
            <w:tcW w:w="2200" w:type="dxa"/>
            <w:shd w:val="clear" w:color="auto" w:fill="1F2937"/>
          </w:tcPr>
          <w:p w14:paraId="55F0E223" w14:textId="77777777" w:rsidR="003029B2" w:rsidRDefault="00000000">
            <w:r>
              <w:rPr>
                <w:b/>
                <w:bCs/>
                <w:color w:val="FFFFFF"/>
                <w:sz w:val="19"/>
                <w:szCs w:val="19"/>
              </w:rPr>
              <w:t>Meta Title</w:t>
            </w:r>
          </w:p>
        </w:tc>
        <w:tc>
          <w:tcPr>
            <w:tcW w:w="7150" w:type="dxa"/>
          </w:tcPr>
          <w:p w14:paraId="15203541" w14:textId="77777777" w:rsidR="003029B2" w:rsidRDefault="00000000">
            <w:r>
              <w:rPr>
                <w:sz w:val="19"/>
                <w:szCs w:val="19"/>
              </w:rPr>
              <w:t>International Tax Advisory | LAINEXUS</w:t>
            </w:r>
          </w:p>
        </w:tc>
      </w:tr>
      <w:tr w:rsidR="003029B2" w14:paraId="2B52FFEA" w14:textId="77777777">
        <w:tblPrEx>
          <w:tblCellMar>
            <w:top w:w="0" w:type="dxa"/>
            <w:bottom w:w="0" w:type="dxa"/>
          </w:tblCellMar>
        </w:tblPrEx>
        <w:tc>
          <w:tcPr>
            <w:tcW w:w="2200" w:type="dxa"/>
            <w:shd w:val="clear" w:color="auto" w:fill="1F2937"/>
          </w:tcPr>
          <w:p w14:paraId="3147F86E" w14:textId="77777777" w:rsidR="003029B2" w:rsidRDefault="00000000">
            <w:r>
              <w:rPr>
                <w:b/>
                <w:bCs/>
                <w:color w:val="FFFFFF"/>
                <w:sz w:val="19"/>
                <w:szCs w:val="19"/>
              </w:rPr>
              <w:t>Meta Description</w:t>
            </w:r>
          </w:p>
        </w:tc>
        <w:tc>
          <w:tcPr>
            <w:tcW w:w="7150" w:type="dxa"/>
          </w:tcPr>
          <w:p w14:paraId="31126FAD" w14:textId="77777777" w:rsidR="003029B2" w:rsidRDefault="00000000">
            <w:r>
              <w:rPr>
                <w:sz w:val="19"/>
                <w:szCs w:val="19"/>
              </w:rPr>
              <w:t>Get expert tax advisory and compliance planning for your international business.</w:t>
            </w:r>
          </w:p>
        </w:tc>
      </w:tr>
      <w:tr w:rsidR="003029B2" w14:paraId="1862764A" w14:textId="77777777">
        <w:tblPrEx>
          <w:tblCellMar>
            <w:top w:w="0" w:type="dxa"/>
            <w:bottom w:w="0" w:type="dxa"/>
          </w:tblCellMar>
        </w:tblPrEx>
        <w:tc>
          <w:tcPr>
            <w:tcW w:w="2200" w:type="dxa"/>
            <w:shd w:val="clear" w:color="auto" w:fill="1F2937"/>
          </w:tcPr>
          <w:p w14:paraId="2A307319" w14:textId="77777777" w:rsidR="003029B2" w:rsidRDefault="00000000">
            <w:r>
              <w:rPr>
                <w:b/>
                <w:bCs/>
                <w:color w:val="FFFFFF"/>
                <w:sz w:val="19"/>
                <w:szCs w:val="19"/>
              </w:rPr>
              <w:t>Primary Keyword</w:t>
            </w:r>
          </w:p>
        </w:tc>
        <w:tc>
          <w:tcPr>
            <w:tcW w:w="7150" w:type="dxa"/>
          </w:tcPr>
          <w:p w14:paraId="1FBC5DAD" w14:textId="77777777" w:rsidR="003029B2" w:rsidRDefault="00000000">
            <w:r>
              <w:rPr>
                <w:sz w:val="19"/>
                <w:szCs w:val="19"/>
              </w:rPr>
              <w:t>tax haven</w:t>
            </w:r>
          </w:p>
        </w:tc>
      </w:tr>
      <w:tr w:rsidR="003029B2" w14:paraId="205D554D" w14:textId="77777777">
        <w:tblPrEx>
          <w:tblCellMar>
            <w:top w:w="0" w:type="dxa"/>
            <w:bottom w:w="0" w:type="dxa"/>
          </w:tblCellMar>
        </w:tblPrEx>
        <w:tc>
          <w:tcPr>
            <w:tcW w:w="2200" w:type="dxa"/>
            <w:shd w:val="clear" w:color="auto" w:fill="1F2937"/>
          </w:tcPr>
          <w:p w14:paraId="1460B074" w14:textId="77777777" w:rsidR="003029B2" w:rsidRDefault="00000000">
            <w:r>
              <w:rPr>
                <w:b/>
                <w:bCs/>
                <w:color w:val="FFFFFF"/>
                <w:sz w:val="19"/>
                <w:szCs w:val="19"/>
              </w:rPr>
              <w:t>Search Intent</w:t>
            </w:r>
          </w:p>
        </w:tc>
        <w:tc>
          <w:tcPr>
            <w:tcW w:w="7150" w:type="dxa"/>
          </w:tcPr>
          <w:p w14:paraId="5C5E1520" w14:textId="77777777" w:rsidR="003029B2" w:rsidRDefault="00000000">
            <w:r>
              <w:rPr>
                <w:sz w:val="19"/>
                <w:szCs w:val="19"/>
              </w:rPr>
              <w:t>Informational / Commercial</w:t>
            </w:r>
          </w:p>
        </w:tc>
      </w:tr>
      <w:tr w:rsidR="003029B2" w14:paraId="0C279C13" w14:textId="77777777">
        <w:tblPrEx>
          <w:tblCellMar>
            <w:top w:w="0" w:type="dxa"/>
            <w:bottom w:w="0" w:type="dxa"/>
          </w:tblCellMar>
        </w:tblPrEx>
        <w:tc>
          <w:tcPr>
            <w:tcW w:w="2200" w:type="dxa"/>
            <w:shd w:val="clear" w:color="auto" w:fill="1F2937"/>
          </w:tcPr>
          <w:p w14:paraId="379E3B4C" w14:textId="77777777" w:rsidR="003029B2" w:rsidRDefault="00000000">
            <w:r>
              <w:rPr>
                <w:b/>
                <w:bCs/>
                <w:color w:val="FFFFFF"/>
                <w:sz w:val="19"/>
                <w:szCs w:val="19"/>
              </w:rPr>
              <w:t>Word Count</w:t>
            </w:r>
          </w:p>
        </w:tc>
        <w:tc>
          <w:tcPr>
            <w:tcW w:w="7150" w:type="dxa"/>
          </w:tcPr>
          <w:p w14:paraId="4C55A1A9" w14:textId="77777777" w:rsidR="003029B2" w:rsidRDefault="00000000">
            <w:r>
              <w:rPr>
                <w:sz w:val="19"/>
                <w:szCs w:val="19"/>
              </w:rPr>
              <w:t>800 to 1,100 words</w:t>
            </w:r>
          </w:p>
        </w:tc>
      </w:tr>
      <w:tr w:rsidR="003029B2" w14:paraId="400F3873" w14:textId="77777777">
        <w:tblPrEx>
          <w:tblCellMar>
            <w:top w:w="0" w:type="dxa"/>
            <w:bottom w:w="0" w:type="dxa"/>
          </w:tblCellMar>
        </w:tblPrEx>
        <w:tc>
          <w:tcPr>
            <w:tcW w:w="2200" w:type="dxa"/>
            <w:shd w:val="clear" w:color="auto" w:fill="1F2937"/>
          </w:tcPr>
          <w:p w14:paraId="669B49E9" w14:textId="77777777" w:rsidR="003029B2" w:rsidRDefault="00000000">
            <w:r>
              <w:rPr>
                <w:b/>
                <w:bCs/>
                <w:color w:val="FFFFFF"/>
                <w:sz w:val="19"/>
                <w:szCs w:val="19"/>
              </w:rPr>
              <w:t>Schema Markup</w:t>
            </w:r>
          </w:p>
        </w:tc>
        <w:tc>
          <w:tcPr>
            <w:tcW w:w="7150" w:type="dxa"/>
          </w:tcPr>
          <w:p w14:paraId="6E6F54A5" w14:textId="77777777" w:rsidR="003029B2" w:rsidRDefault="00000000">
            <w:r>
              <w:rPr>
                <w:sz w:val="19"/>
                <w:szCs w:val="19"/>
              </w:rPr>
              <w:t>Service schema + FAQ schema</w:t>
            </w:r>
          </w:p>
        </w:tc>
      </w:tr>
    </w:tbl>
    <w:p w14:paraId="22F56D05" w14:textId="77777777" w:rsidR="003029B2" w:rsidRDefault="003029B2">
      <w:pPr>
        <w:spacing w:after="300"/>
      </w:pPr>
    </w:p>
    <w:p w14:paraId="3C64191B" w14:textId="77777777" w:rsidR="003029B2" w:rsidRDefault="00000000">
      <w:pPr>
        <w:pStyle w:val="Heading1"/>
        <w:spacing w:before="200" w:after="160"/>
      </w:pPr>
      <w:r>
        <w:t>International Tax Advisory and Compliance</w:t>
      </w:r>
    </w:p>
    <w:p w14:paraId="6723F4CD" w14:textId="77777777" w:rsidR="003029B2" w:rsidRDefault="00000000">
      <w:pPr>
        <w:spacing w:after="140"/>
      </w:pPr>
      <w:r>
        <w:t xml:space="preserve">Tax rules for international businesses rarely work the simple way people expect. Where your company is registered, where it </w:t>
      </w:r>
      <w:proofErr w:type="gramStart"/>
      <w:r>
        <w:t>actually operates</w:t>
      </w:r>
      <w:proofErr w:type="gramEnd"/>
      <w:r>
        <w:t>, and where its owners live all shape how much tax you owe and who you owe it to. Get this wrong and you're looking at double taxation, a surprise bill, or penalties you never saw coming. Our job is to help you understand these obligations before they turn into problems.</w:t>
      </w:r>
    </w:p>
    <w:p w14:paraId="69734E10" w14:textId="77777777" w:rsidR="003029B2" w:rsidRDefault="00000000">
      <w:pPr>
        <w:pStyle w:val="Heading2"/>
        <w:spacing w:before="260" w:after="120"/>
      </w:pPr>
      <w:r>
        <w:t xml:space="preserve">What Is a Tax Haven, </w:t>
      </w:r>
      <w:proofErr w:type="gramStart"/>
      <w:r>
        <w:t>Really</w:t>
      </w:r>
      <w:proofErr w:type="gramEnd"/>
      <w:r>
        <w:t>?</w:t>
      </w:r>
    </w:p>
    <w:p w14:paraId="0786A3BE" w14:textId="77777777" w:rsidR="003029B2" w:rsidRDefault="00000000">
      <w:pPr>
        <w:spacing w:after="140"/>
      </w:pPr>
      <w:r>
        <w:t xml:space="preserve">A tax haven is a jurisdiction that charges little or no corporate tax and offers financial privacy to businesses registered there. The British Virgin Islands, the Cayman Islands, and certain Channel Islands are some of the </w:t>
      </w:r>
      <w:proofErr w:type="gramStart"/>
      <w:r>
        <w:t>better known</w:t>
      </w:r>
      <w:proofErr w:type="gramEnd"/>
      <w:r>
        <w:t xml:space="preserve"> examples. Companies use them to legally reduce how much tax they pay.</w:t>
      </w:r>
    </w:p>
    <w:p w14:paraId="53446107" w14:textId="77777777" w:rsidR="003029B2" w:rsidRDefault="00000000">
      <w:pPr>
        <w:spacing w:after="140"/>
      </w:pPr>
      <w:r>
        <w:t>But the phrase carries more baggage than the definition suggests. Most of these jurisdictions have now signed international agreements requiring them to share financial information with other countries. Quietly parking money offshore and asking no questions is mostly a thing of the past. There's still real value in using a low tax jurisdiction, but only when it's set up correctly and reported the way the law requires.</w:t>
      </w:r>
    </w:p>
    <w:p w14:paraId="014B1B72" w14:textId="77777777" w:rsidR="003029B2" w:rsidRDefault="00000000">
      <w:pPr>
        <w:pStyle w:val="Heading2"/>
        <w:spacing w:before="260" w:after="120"/>
      </w:pPr>
      <w:r>
        <w:t>CRS Reporting, Explained Simply</w:t>
      </w:r>
    </w:p>
    <w:p w14:paraId="396885FC" w14:textId="77777777" w:rsidR="003029B2" w:rsidRDefault="00000000">
      <w:pPr>
        <w:spacing w:after="140"/>
      </w:pPr>
      <w:r>
        <w:t>CRS stands for Common Reporting Standard, a global framework built by the OECD. It requires banks and financial institutions to report account details of foreign tax residents back to those residents' home countries. Over 100 countries take part.</w:t>
      </w:r>
    </w:p>
    <w:p w14:paraId="79E8D668" w14:textId="77777777" w:rsidR="003029B2" w:rsidRDefault="00000000">
      <w:pPr>
        <w:spacing w:after="140"/>
      </w:pPr>
      <w:r>
        <w:t xml:space="preserve">Here's what that </w:t>
      </w:r>
      <w:proofErr w:type="gramStart"/>
      <w:r>
        <w:t>actually means</w:t>
      </w:r>
      <w:proofErr w:type="gramEnd"/>
      <w:r>
        <w:t xml:space="preserve"> for you. Say you hold a bank account in Hong Kong, but you pay tax in Germany. Your Hong Kong bank </w:t>
      </w:r>
      <w:proofErr w:type="gramStart"/>
      <w:r>
        <w:t>has to</w:t>
      </w:r>
      <w:proofErr w:type="gramEnd"/>
      <w:r>
        <w:t xml:space="preserve"> report your account details to the German tax authority. This applies whether the account is personal or corporate. CRS doesn't raise your tax bill on its own. It just means your account information moves automatically between countries, so your tax filings need to line up with what the banks are already reporting.</w:t>
      </w:r>
    </w:p>
    <w:p w14:paraId="7476527B" w14:textId="77777777" w:rsidR="003029B2" w:rsidRDefault="00000000">
      <w:pPr>
        <w:spacing w:after="140"/>
      </w:pPr>
      <w:r>
        <w:t>We help clients understand exactly what CRS means for their situation, and make sure their international structures are disclosed the way they should be.</w:t>
      </w:r>
    </w:p>
    <w:p w14:paraId="7A473EE0" w14:textId="77777777" w:rsidR="003029B2" w:rsidRDefault="00000000">
      <w:pPr>
        <w:pStyle w:val="Heading2"/>
        <w:spacing w:before="260" w:after="120"/>
      </w:pPr>
      <w:r>
        <w:t>Why Economic Substance Rules Exist</w:t>
      </w:r>
    </w:p>
    <w:p w14:paraId="1A4423DE" w14:textId="77777777" w:rsidR="003029B2" w:rsidRDefault="00000000">
      <w:pPr>
        <w:spacing w:after="140"/>
      </w:pPr>
      <w:r>
        <w:t xml:space="preserve">Economic substance rules were built to stop companies from registering in a low tax country purely to save on tax, without doing any real business there. Jurisdictions including the Cayman </w:t>
      </w:r>
      <w:r>
        <w:lastRenderedPageBreak/>
        <w:t>Islands, the BVI, and Bermuda now require companies to show genuine activity in the country where they're registered.</w:t>
      </w:r>
    </w:p>
    <w:p w14:paraId="4320C54E" w14:textId="77777777" w:rsidR="003029B2" w:rsidRDefault="00000000">
      <w:pPr>
        <w:spacing w:after="140"/>
      </w:pPr>
      <w:r>
        <w:t xml:space="preserve">In practice, that can mean employing people locally, holding board meetings there, making key decisions on the ground, and spending a fair share of your budget on real operations. Fall short of these requirements and your company could face </w:t>
      </w:r>
      <w:proofErr w:type="gramStart"/>
      <w:r>
        <w:t>penalties, or</w:t>
      </w:r>
      <w:proofErr w:type="gramEnd"/>
      <w:r>
        <w:t xml:space="preserve"> get flagged to the tax authority where the beneficial owner </w:t>
      </w:r>
      <w:proofErr w:type="gramStart"/>
      <w:r>
        <w:t>actually lives</w:t>
      </w:r>
      <w:proofErr w:type="gramEnd"/>
      <w:r>
        <w:t>.</w:t>
      </w:r>
    </w:p>
    <w:p w14:paraId="5B3E0A04" w14:textId="77777777" w:rsidR="003029B2" w:rsidRDefault="00000000">
      <w:pPr>
        <w:spacing w:after="140"/>
      </w:pPr>
      <w:r>
        <w:t>We walk through substance requirements with you before you register, not after, so there are no surprises once your company is already set up.</w:t>
      </w:r>
    </w:p>
    <w:p w14:paraId="76131CA2" w14:textId="77777777" w:rsidR="003029B2" w:rsidRDefault="00000000">
      <w:pPr>
        <w:pStyle w:val="Heading2"/>
        <w:spacing w:before="260" w:after="120"/>
      </w:pPr>
      <w:r>
        <w:t>What We Actually Help With</w:t>
      </w:r>
    </w:p>
    <w:p w14:paraId="563E633E" w14:textId="77777777" w:rsidR="003029B2" w:rsidRDefault="00000000">
      <w:pPr>
        <w:spacing w:after="140"/>
      </w:pPr>
      <w:r>
        <w:t xml:space="preserve">We're not a law firm, and we don't replace your tax attorney. What we do is help you see the full tax picture around your international </w:t>
      </w:r>
      <w:proofErr w:type="gramStart"/>
      <w:r>
        <w:t>structure, and</w:t>
      </w:r>
      <w:proofErr w:type="gramEnd"/>
      <w:r>
        <w:t xml:space="preserve"> connect you with qualified advisors when you need a detailed legal or tax opinion. Here's what that looks like in practice.</w:t>
      </w:r>
    </w:p>
    <w:p w14:paraId="32722D0C" w14:textId="77777777" w:rsidR="003029B2" w:rsidRDefault="00000000">
      <w:pPr>
        <w:pStyle w:val="ListParagraph"/>
        <w:numPr>
          <w:ilvl w:val="0"/>
          <w:numId w:val="1"/>
        </w:numPr>
        <w:spacing w:after="80"/>
      </w:pPr>
      <w:r>
        <w:t>Guidance on choosing a jurisdiction with tax treatment that fits your type of business</w:t>
      </w:r>
    </w:p>
    <w:p w14:paraId="6136F1EF" w14:textId="77777777" w:rsidR="003029B2" w:rsidRDefault="00000000">
      <w:pPr>
        <w:pStyle w:val="ListParagraph"/>
        <w:numPr>
          <w:ilvl w:val="0"/>
          <w:numId w:val="1"/>
        </w:numPr>
        <w:spacing w:after="80"/>
      </w:pPr>
      <w:r>
        <w:t>Plain language explanations of CRS, economic substance, and reporting obligations</w:t>
      </w:r>
    </w:p>
    <w:p w14:paraId="13EC5018" w14:textId="77777777" w:rsidR="003029B2" w:rsidRDefault="00000000">
      <w:pPr>
        <w:pStyle w:val="ListParagraph"/>
        <w:numPr>
          <w:ilvl w:val="0"/>
          <w:numId w:val="1"/>
        </w:numPr>
        <w:spacing w:after="80"/>
      </w:pPr>
      <w:r>
        <w:t>Coordination with your existing tax advisors, so your structure stays properly set up</w:t>
      </w:r>
    </w:p>
    <w:p w14:paraId="6BC95C44" w14:textId="77777777" w:rsidR="003029B2" w:rsidRDefault="00000000">
      <w:pPr>
        <w:pStyle w:val="ListParagraph"/>
        <w:numPr>
          <w:ilvl w:val="0"/>
          <w:numId w:val="1"/>
        </w:numPr>
        <w:spacing w:after="80"/>
      </w:pPr>
      <w:r>
        <w:t>Introductions to qualified tax professionals in Hong Kong, Singapore, and other key jurisdictions</w:t>
      </w:r>
    </w:p>
    <w:p w14:paraId="26E59BB5" w14:textId="77777777" w:rsidR="003029B2" w:rsidRDefault="00000000">
      <w:pPr>
        <w:pStyle w:val="ListParagraph"/>
        <w:numPr>
          <w:ilvl w:val="0"/>
          <w:numId w:val="1"/>
        </w:numPr>
        <w:spacing w:after="80"/>
      </w:pPr>
      <w:r>
        <w:t>Ongoing support with the annual compliance filings tied to your company registration</w:t>
      </w:r>
    </w:p>
    <w:p w14:paraId="51934419" w14:textId="77777777" w:rsidR="003029B2" w:rsidRDefault="00000000">
      <w:pPr>
        <w:pStyle w:val="Heading2"/>
        <w:spacing w:before="260" w:after="120"/>
      </w:pPr>
      <w:r>
        <w:t>Frequently Asked Questions</w:t>
      </w:r>
    </w:p>
    <w:p w14:paraId="19A848A7" w14:textId="77777777" w:rsidR="003029B2" w:rsidRDefault="00000000">
      <w:pPr>
        <w:pStyle w:val="Heading3"/>
        <w:spacing w:before="200" w:after="100"/>
      </w:pPr>
      <w:r>
        <w:t>What is CRS reporting?</w:t>
      </w:r>
    </w:p>
    <w:p w14:paraId="67F7F2C7" w14:textId="77777777" w:rsidR="003029B2" w:rsidRDefault="00000000">
      <w:pPr>
        <w:spacing w:after="140"/>
      </w:pPr>
      <w:r>
        <w:t xml:space="preserve">CRS, or the Common Reporting Standard, is an international framework requiring banks to share account information about foreign tax residents with those residents' home tax authorities. Over 100 countries </w:t>
      </w:r>
      <w:proofErr w:type="gramStart"/>
      <w:r>
        <w:t>participate</w:t>
      </w:r>
      <w:proofErr w:type="gramEnd"/>
      <w:r>
        <w:t>. It doesn't create a new tax, but it does mean your account details cross borders automatically.</w:t>
      </w:r>
    </w:p>
    <w:p w14:paraId="2E299A68" w14:textId="77777777" w:rsidR="003029B2" w:rsidRDefault="00000000">
      <w:pPr>
        <w:pStyle w:val="Heading3"/>
        <w:spacing w:before="200" w:after="100"/>
      </w:pPr>
      <w:r>
        <w:t>What counts as an economic substance requirement?</w:t>
      </w:r>
    </w:p>
    <w:p w14:paraId="0D1540A8" w14:textId="77777777" w:rsidR="003029B2" w:rsidRDefault="00000000">
      <w:pPr>
        <w:spacing w:after="140"/>
      </w:pPr>
      <w:r>
        <w:t xml:space="preserve">It's a rule requiring your company to show real business activity in the country where it's registered. That might mean local employees, meetings held in that country, and genuine spending on operations there. Several low tax jurisdictions brought these </w:t>
      </w:r>
      <w:proofErr w:type="gramStart"/>
      <w:r>
        <w:t>rules in</w:t>
      </w:r>
      <w:proofErr w:type="gramEnd"/>
      <w:r>
        <w:t xml:space="preserve"> under international pressure against shell companies.</w:t>
      </w:r>
    </w:p>
    <w:p w14:paraId="035E1B57" w14:textId="77777777" w:rsidR="003029B2" w:rsidRDefault="00000000">
      <w:pPr>
        <w:pStyle w:val="Heading3"/>
        <w:spacing w:before="200" w:after="100"/>
      </w:pPr>
      <w:r>
        <w:t xml:space="preserve">Is using a tax haven </w:t>
      </w:r>
      <w:proofErr w:type="gramStart"/>
      <w:r>
        <w:t>actually legal</w:t>
      </w:r>
      <w:proofErr w:type="gramEnd"/>
      <w:r>
        <w:t>?</w:t>
      </w:r>
    </w:p>
    <w:p w14:paraId="4C4B95D2" w14:textId="77777777" w:rsidR="003029B2" w:rsidRDefault="00000000">
      <w:pPr>
        <w:spacing w:after="140"/>
      </w:pPr>
      <w:r>
        <w:t>Yes, it's legal. A tax haven simply offers low or zero corporate tax with financial privacy for registered businesses. The catch is that compliance obligations keep growing. Most tax havens now participate in CRS and enforce economic substance rules, so getting real value from one takes proper planning and full disclosure, not just picking a low tax country and hoping for the best.</w:t>
      </w:r>
    </w:p>
    <w:p w14:paraId="0ABF827E" w14:textId="77777777" w:rsidR="003029B2" w:rsidRDefault="00000000">
      <w:pPr>
        <w:pStyle w:val="Heading3"/>
        <w:spacing w:before="200" w:after="100"/>
      </w:pPr>
      <w:r>
        <w:t xml:space="preserve">Do I </w:t>
      </w:r>
      <w:proofErr w:type="gramStart"/>
      <w:r>
        <w:t>actually need</w:t>
      </w:r>
      <w:proofErr w:type="gramEnd"/>
      <w:r>
        <w:t xml:space="preserve"> a tax advisor for an offshore company?</w:t>
      </w:r>
    </w:p>
    <w:p w14:paraId="6FFDD025" w14:textId="77777777" w:rsidR="003029B2" w:rsidRDefault="00000000">
      <w:pPr>
        <w:spacing w:after="140"/>
      </w:pPr>
      <w:r>
        <w:t>In most cases, yes. Your tax obligations depend on where your company is registered, where it does business, and where its owners live for tax purposes. A qualified advisor helps you avoid double taxation, hit reporting deadlines, and build a structure that's both efficient and fully within the law.</w:t>
      </w:r>
    </w:p>
    <w:p w14:paraId="77271A5E" w14:textId="77777777" w:rsidR="003029B2" w:rsidRDefault="003029B2">
      <w:pPr>
        <w:spacing w:after="200"/>
      </w:pPr>
    </w:p>
    <w:p w14:paraId="322B7CF6" w14:textId="77777777" w:rsidR="003029B2" w:rsidRDefault="00000000">
      <w:pPr>
        <w:pStyle w:val="Heading2"/>
        <w:spacing w:before="260" w:after="120"/>
      </w:pPr>
      <w:r>
        <w:t>Get Started</w:t>
      </w:r>
    </w:p>
    <w:p w14:paraId="4965CA19" w14:textId="77777777" w:rsidR="003029B2" w:rsidRDefault="00000000">
      <w:pPr>
        <w:spacing w:after="140"/>
      </w:pPr>
      <w:r>
        <w:t xml:space="preserve">Got questions about the tax side of your international business? Talk to our team. We'll help you understand what you </w:t>
      </w:r>
      <w:proofErr w:type="gramStart"/>
      <w:r>
        <w:t>actually owe</w:t>
      </w:r>
      <w:proofErr w:type="gramEnd"/>
      <w:r>
        <w:t>, to whom, and connect you with the right advisors to get it handled properly.</w:t>
      </w:r>
    </w:p>
    <w:p w14:paraId="61070E07" w14:textId="77777777" w:rsidR="003029B2" w:rsidRDefault="003029B2">
      <w:pPr>
        <w:spacing w:after="300"/>
      </w:pPr>
    </w:p>
    <w:p w14:paraId="66B2006D" w14:textId="77777777" w:rsidR="003029B2" w:rsidRDefault="00000000">
      <w:pPr>
        <w:pStyle w:val="Heading2"/>
        <w:spacing w:before="260" w:after="120"/>
      </w:pPr>
      <w:r>
        <w:t>Internal Links to Add</w:t>
      </w:r>
    </w:p>
    <w:p w14:paraId="55C7464A" w14:textId="77777777" w:rsidR="003029B2" w:rsidRDefault="00000000">
      <w:pPr>
        <w:pStyle w:val="ListParagraph"/>
        <w:numPr>
          <w:ilvl w:val="0"/>
          <w:numId w:val="1"/>
        </w:numPr>
        <w:spacing w:after="80"/>
      </w:pPr>
      <w:r>
        <w:t>'Hong Kong Tax Guide' &gt; HK cluster page, once created</w:t>
      </w:r>
    </w:p>
    <w:p w14:paraId="58E065EA" w14:textId="77777777" w:rsidR="003029B2" w:rsidRDefault="00000000">
      <w:pPr>
        <w:pStyle w:val="ListParagraph"/>
        <w:numPr>
          <w:ilvl w:val="0"/>
          <w:numId w:val="1"/>
        </w:numPr>
        <w:spacing w:after="80"/>
      </w:pPr>
      <w:r>
        <w:t>'Accounting' &gt; /services/accounting</w:t>
      </w:r>
    </w:p>
    <w:p w14:paraId="33B2A477" w14:textId="77777777" w:rsidR="003029B2" w:rsidRDefault="00000000">
      <w:pPr>
        <w:pStyle w:val="ListParagraph"/>
        <w:numPr>
          <w:ilvl w:val="0"/>
          <w:numId w:val="1"/>
        </w:numPr>
        <w:spacing w:after="80"/>
      </w:pPr>
      <w:r>
        <w:t>'Company registration' (hub) &gt; /services/company-registration</w:t>
      </w:r>
    </w:p>
    <w:p w14:paraId="79818948" w14:textId="585D0EFC" w:rsidR="003029B2" w:rsidRDefault="003029B2" w:rsidP="00DD2493">
      <w:pPr>
        <w:pStyle w:val="ListParagraph"/>
        <w:spacing w:after="80"/>
        <w:ind w:left="720"/>
      </w:pPr>
    </w:p>
    <w:sectPr w:rsidR="003029B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12674"/>
    <w:multiLevelType w:val="hybridMultilevel"/>
    <w:tmpl w:val="CF6A9058"/>
    <w:lvl w:ilvl="0" w:tplc="104698C4">
      <w:start w:val="1"/>
      <w:numFmt w:val="bullet"/>
      <w:lvlText w:val="●"/>
      <w:lvlJc w:val="left"/>
      <w:pPr>
        <w:ind w:left="720" w:hanging="360"/>
      </w:pPr>
    </w:lvl>
    <w:lvl w:ilvl="1" w:tplc="3A1A6030">
      <w:start w:val="1"/>
      <w:numFmt w:val="bullet"/>
      <w:lvlText w:val="○"/>
      <w:lvlJc w:val="left"/>
      <w:pPr>
        <w:ind w:left="1440" w:hanging="360"/>
      </w:pPr>
    </w:lvl>
    <w:lvl w:ilvl="2" w:tplc="78781EE2">
      <w:start w:val="1"/>
      <w:numFmt w:val="bullet"/>
      <w:lvlText w:val="■"/>
      <w:lvlJc w:val="left"/>
      <w:pPr>
        <w:ind w:left="2160" w:hanging="360"/>
      </w:pPr>
    </w:lvl>
    <w:lvl w:ilvl="3" w:tplc="403A768C">
      <w:start w:val="1"/>
      <w:numFmt w:val="bullet"/>
      <w:lvlText w:val="●"/>
      <w:lvlJc w:val="left"/>
      <w:pPr>
        <w:ind w:left="2880" w:hanging="360"/>
      </w:pPr>
    </w:lvl>
    <w:lvl w:ilvl="4" w:tplc="3D787D8A">
      <w:start w:val="1"/>
      <w:numFmt w:val="bullet"/>
      <w:lvlText w:val="○"/>
      <w:lvlJc w:val="left"/>
      <w:pPr>
        <w:ind w:left="3600" w:hanging="360"/>
      </w:pPr>
    </w:lvl>
    <w:lvl w:ilvl="5" w:tplc="7B8E96AE">
      <w:start w:val="1"/>
      <w:numFmt w:val="bullet"/>
      <w:lvlText w:val="■"/>
      <w:lvlJc w:val="left"/>
      <w:pPr>
        <w:ind w:left="4320" w:hanging="360"/>
      </w:pPr>
    </w:lvl>
    <w:lvl w:ilvl="6" w:tplc="21A053CC">
      <w:start w:val="1"/>
      <w:numFmt w:val="bullet"/>
      <w:lvlText w:val="●"/>
      <w:lvlJc w:val="left"/>
      <w:pPr>
        <w:ind w:left="5040" w:hanging="360"/>
      </w:pPr>
    </w:lvl>
    <w:lvl w:ilvl="7" w:tplc="0B287FFC">
      <w:start w:val="1"/>
      <w:numFmt w:val="bullet"/>
      <w:lvlText w:val="●"/>
      <w:lvlJc w:val="left"/>
      <w:pPr>
        <w:ind w:left="5760" w:hanging="360"/>
      </w:pPr>
    </w:lvl>
    <w:lvl w:ilvl="8" w:tplc="608A0BD6">
      <w:start w:val="1"/>
      <w:numFmt w:val="bullet"/>
      <w:lvlText w:val="●"/>
      <w:lvlJc w:val="left"/>
      <w:pPr>
        <w:ind w:left="6480" w:hanging="360"/>
      </w:pPr>
    </w:lvl>
  </w:abstractNum>
  <w:num w:numId="1" w16cid:durableId="9432236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29B2"/>
    <w:rsid w:val="003029B2"/>
    <w:rsid w:val="0058686F"/>
    <w:rsid w:val="00DD249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1CA0C"/>
  <w15:docId w15:val="{CD0D1AA7-B646-44B3-900D-B499D2D5A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2937"/>
      <w:sz w:val="32"/>
      <w:szCs w:val="32"/>
    </w:rPr>
  </w:style>
  <w:style w:type="paragraph" w:styleId="Heading2">
    <w:name w:val="heading 2"/>
    <w:uiPriority w:val="9"/>
    <w:unhideWhenUsed/>
    <w:qFormat/>
    <w:pPr>
      <w:outlineLvl w:val="1"/>
    </w:pPr>
    <w:rPr>
      <w:b/>
      <w:bCs/>
      <w:color w:val="1F2937"/>
      <w:sz w:val="26"/>
      <w:szCs w:val="26"/>
    </w:rPr>
  </w:style>
  <w:style w:type="paragraph" w:styleId="Heading3">
    <w:name w:val="heading 3"/>
    <w:uiPriority w:val="9"/>
    <w:unhideWhenUsed/>
    <w:qFormat/>
    <w:pPr>
      <w:outlineLvl w:val="2"/>
    </w:pPr>
    <w:rPr>
      <w:b/>
      <w:bCs/>
      <w:color w:val="B8860B"/>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888</Words>
  <Characters>5068</Characters>
  <Application>Microsoft Office Word</Application>
  <DocSecurity>0</DocSecurity>
  <Lines>42</Lines>
  <Paragraphs>11</Paragraphs>
  <ScaleCrop>false</ScaleCrop>
  <Company/>
  <LinksUpToDate>false</LinksUpToDate>
  <CharactersWithSpaces>5945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Hashir Iftikhar</cp:lastModifiedBy>
  <cp:revision>2</cp:revision>
  <dcterms:created xsi:type="dcterms:W3CDTF">2026-07-18T10:03:00Z</dcterms:created>
  <dcterms:modified xsi:type="dcterms:W3CDTF">2026-07-18T10:03:00Z</dcterms:modified>
</cp:coreProperties>
</file>