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45" w:type="dxa"/>
        <w:jc w:val="center"/>
        <w:tblCellSpacing w:w="0" w:type="dxa"/>
        <w:tblCellMar>
          <w:left w:w="0" w:type="dxa"/>
          <w:right w:w="0" w:type="dxa"/>
        </w:tblCellMar>
        <w:tblLook w:val="04A0" w:firstRow="1" w:lastRow="0" w:firstColumn="1" w:lastColumn="0" w:noHBand="0" w:noVBand="1"/>
      </w:tblPr>
      <w:tblGrid>
        <w:gridCol w:w="10845"/>
      </w:tblGrid>
      <w:tr w:rsidR="000877CF" w:rsidRPr="000877CF" w14:paraId="38CFBE88" w14:textId="77777777" w:rsidTr="000877CF">
        <w:trPr>
          <w:tblCellSpacing w:w="0" w:type="dxa"/>
          <w:jc w:val="center"/>
        </w:trPr>
        <w:tc>
          <w:tcPr>
            <w:tcW w:w="0" w:type="auto"/>
            <w:vAlign w:val="center"/>
            <w:hideMark/>
          </w:tcPr>
          <w:p w14:paraId="6AB4E55B" w14:textId="77777777" w:rsidR="000877CF" w:rsidRPr="000877CF" w:rsidRDefault="000877CF" w:rsidP="000877CF">
            <w:pPr>
              <w:spacing w:after="0" w:line="540" w:lineRule="atLeast"/>
              <w:rPr>
                <w:rFonts w:ascii="Trebuchet MS" w:eastAsia="Times New Roman" w:hAnsi="Trebuchet MS" w:cs="Times New Roman"/>
                <w:b/>
                <w:bCs/>
                <w:color w:val="414F5A"/>
                <w:sz w:val="42"/>
                <w:szCs w:val="42"/>
                <w:lang w:eastAsia="tr-TR"/>
              </w:rPr>
            </w:pPr>
            <w:r w:rsidRPr="000877CF">
              <w:rPr>
                <w:rFonts w:ascii="Trebuchet MS" w:eastAsia="Times New Roman" w:hAnsi="Trebuchet MS" w:cs="Times New Roman"/>
                <w:b/>
                <w:bCs/>
                <w:color w:val="414F5A"/>
                <w:sz w:val="42"/>
                <w:szCs w:val="42"/>
                <w:lang w:eastAsia="tr-TR"/>
              </w:rPr>
              <w:t>Aselsan – 1Ç21 net kar beklentilere paralel, yeni ıskonto oranı ile 12 aylık hedef fiyatı ve öneride revizeler</w:t>
            </w:r>
          </w:p>
        </w:tc>
      </w:tr>
      <w:tr w:rsidR="000877CF" w:rsidRPr="000877CF" w14:paraId="21F0B830" w14:textId="77777777" w:rsidTr="000877CF">
        <w:trPr>
          <w:trHeight w:val="120"/>
          <w:tblCellSpacing w:w="0" w:type="dxa"/>
          <w:jc w:val="center"/>
        </w:trPr>
        <w:tc>
          <w:tcPr>
            <w:tcW w:w="0" w:type="auto"/>
            <w:vAlign w:val="center"/>
            <w:hideMark/>
          </w:tcPr>
          <w:p w14:paraId="14CD4585" w14:textId="77777777" w:rsidR="000877CF" w:rsidRPr="000877CF" w:rsidRDefault="000877CF" w:rsidP="000877CF">
            <w:pPr>
              <w:spacing w:after="0" w:line="540" w:lineRule="atLeast"/>
              <w:rPr>
                <w:rFonts w:ascii="Trebuchet MS" w:eastAsia="Times New Roman" w:hAnsi="Trebuchet MS" w:cs="Times New Roman"/>
                <w:b/>
                <w:bCs/>
                <w:color w:val="414F5A"/>
                <w:sz w:val="42"/>
                <w:szCs w:val="42"/>
                <w:lang w:eastAsia="tr-TR"/>
              </w:rPr>
            </w:pPr>
          </w:p>
        </w:tc>
      </w:tr>
      <w:tr w:rsidR="000877CF" w:rsidRPr="000877CF" w14:paraId="10139564" w14:textId="77777777" w:rsidTr="000877CF">
        <w:trPr>
          <w:tblCellSpacing w:w="0" w:type="dxa"/>
          <w:jc w:val="center"/>
        </w:trPr>
        <w:tc>
          <w:tcPr>
            <w:tcW w:w="0" w:type="auto"/>
            <w:vAlign w:val="center"/>
            <w:hideMark/>
          </w:tcPr>
          <w:p w14:paraId="2AD6DE1C" w14:textId="77777777" w:rsidR="000877CF" w:rsidRPr="000877CF" w:rsidRDefault="000877CF" w:rsidP="000877CF">
            <w:pPr>
              <w:spacing w:after="0" w:line="330" w:lineRule="atLeast"/>
              <w:rPr>
                <w:rFonts w:ascii="Trebuchet MS" w:eastAsia="Times New Roman" w:hAnsi="Trebuchet MS" w:cs="Times New Roman"/>
                <w:color w:val="414F5A"/>
                <w:sz w:val="24"/>
                <w:szCs w:val="24"/>
                <w:lang w:eastAsia="tr-TR"/>
              </w:rPr>
            </w:pPr>
            <w:r w:rsidRPr="000877CF">
              <w:rPr>
                <w:rFonts w:ascii="Trebuchet MS" w:eastAsia="Times New Roman" w:hAnsi="Trebuchet MS" w:cs="Times New Roman"/>
                <w:color w:val="414F5A"/>
                <w:sz w:val="24"/>
                <w:szCs w:val="24"/>
                <w:lang w:eastAsia="tr-TR"/>
              </w:rPr>
              <w:t>- Aselsan 1Ç21’de 1 milyar 234 milyon TL net kar açıkladı, yıllık %34 büyüme gerçekleşti. Ortalama piyasa ve Ak Yatırım beklentilerine paralel. Faaliyet karlılığındaki büyümeye ilave faaliyet dışı ve finansal gelirlerde artışlar da vardı. - Hedef fiyat ve öneri revizeleri: 1Ç21 sonuçları beklentilerimize paralel geldi ve tahminlerimizde değişikliğe gitmedik. Ancak ağırlıklı ortalama sermaye maliyeti varsayımlında yaptığımız değişiklikler sonucunda Aselsan için 12 aylık hedef fiyat 20,00 TL’den 18,50 TL’ye revize oldu. Son dönemde hisse fiyatında görünen düşüşle alım fırsatı doğduğunu düşünüyoruz. Önerimizi Nötr’den Endeksin Üzerinde’ye revize ettik.</w:t>
            </w:r>
          </w:p>
        </w:tc>
      </w:tr>
      <w:tr w:rsidR="000877CF" w:rsidRPr="000877CF" w14:paraId="51E285FF" w14:textId="77777777" w:rsidTr="000877CF">
        <w:trPr>
          <w:tblCellSpacing w:w="0" w:type="dxa"/>
          <w:jc w:val="center"/>
        </w:trPr>
        <w:tc>
          <w:tcPr>
            <w:tcW w:w="0" w:type="auto"/>
            <w:vAlign w:val="center"/>
            <w:hideMark/>
          </w:tcPr>
          <w:p w14:paraId="5A56E02A" w14:textId="77777777" w:rsidR="000877CF" w:rsidRPr="000877CF" w:rsidRDefault="000877CF" w:rsidP="000877CF">
            <w:pPr>
              <w:spacing w:after="0" w:line="330" w:lineRule="atLeast"/>
              <w:rPr>
                <w:rFonts w:ascii="Trebuchet MS" w:eastAsia="Times New Roman" w:hAnsi="Trebuchet MS" w:cs="Times New Roman"/>
                <w:color w:val="414F5A"/>
                <w:sz w:val="24"/>
                <w:szCs w:val="24"/>
                <w:lang w:eastAsia="tr-TR"/>
              </w:rPr>
            </w:pPr>
          </w:p>
        </w:tc>
      </w:tr>
    </w:tbl>
    <w:p w14:paraId="3ABFCA1C" w14:textId="77777777" w:rsidR="006E6FB7" w:rsidRDefault="006E6FB7"/>
    <w:sectPr w:rsidR="006E6F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EE"/>
    <w:rsid w:val="000877CF"/>
    <w:rsid w:val="006E6FB7"/>
    <w:rsid w:val="00B867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7B98D-2E94-453C-934C-0E6DBD01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06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2021-05-06T09:51:00Z</dcterms:created>
  <dcterms:modified xsi:type="dcterms:W3CDTF">2021-05-06T09:51:00Z</dcterms:modified>
</cp:coreProperties>
</file>