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45" w:type="dxa"/>
        <w:jc w:val="center"/>
        <w:tblCellSpacing w:w="0" w:type="dxa"/>
        <w:tblCellMar>
          <w:left w:w="0" w:type="dxa"/>
          <w:right w:w="0" w:type="dxa"/>
        </w:tblCellMar>
        <w:tblLook w:val="04A0" w:firstRow="1" w:lastRow="0" w:firstColumn="1" w:lastColumn="0" w:noHBand="0" w:noVBand="1"/>
      </w:tblPr>
      <w:tblGrid>
        <w:gridCol w:w="10845"/>
      </w:tblGrid>
      <w:tr w:rsidR="0005157D" w:rsidRPr="0005157D" w14:paraId="3E38BB85" w14:textId="77777777" w:rsidTr="0005157D">
        <w:trPr>
          <w:tblCellSpacing w:w="0" w:type="dxa"/>
          <w:jc w:val="center"/>
        </w:trPr>
        <w:tc>
          <w:tcPr>
            <w:tcW w:w="0" w:type="auto"/>
            <w:vAlign w:val="center"/>
            <w:hideMark/>
          </w:tcPr>
          <w:p w14:paraId="3C7DB941" w14:textId="77777777" w:rsidR="0005157D" w:rsidRPr="0005157D" w:rsidRDefault="0005157D" w:rsidP="0005157D">
            <w:pPr>
              <w:spacing w:after="0" w:line="540" w:lineRule="atLeast"/>
              <w:rPr>
                <w:rFonts w:ascii="Trebuchet MS" w:eastAsia="Times New Roman" w:hAnsi="Trebuchet MS" w:cs="Times New Roman"/>
                <w:b/>
                <w:bCs/>
                <w:color w:val="414F5A"/>
                <w:sz w:val="42"/>
                <w:szCs w:val="42"/>
                <w:lang w:eastAsia="tr-TR"/>
              </w:rPr>
            </w:pPr>
            <w:r w:rsidRPr="0005157D">
              <w:rPr>
                <w:rFonts w:ascii="Trebuchet MS" w:eastAsia="Times New Roman" w:hAnsi="Trebuchet MS" w:cs="Times New Roman"/>
                <w:b/>
                <w:bCs/>
                <w:color w:val="414F5A"/>
                <w:sz w:val="42"/>
                <w:szCs w:val="42"/>
                <w:lang w:eastAsia="tr-TR"/>
              </w:rPr>
              <w:t>Analitik_Bülten: Endekste tepki hareketi sınırlı şekilde devam ediyor.</w:t>
            </w:r>
          </w:p>
        </w:tc>
      </w:tr>
      <w:tr w:rsidR="0005157D" w:rsidRPr="0005157D" w14:paraId="13C13CAA" w14:textId="77777777" w:rsidTr="0005157D">
        <w:trPr>
          <w:trHeight w:val="120"/>
          <w:tblCellSpacing w:w="0" w:type="dxa"/>
          <w:jc w:val="center"/>
        </w:trPr>
        <w:tc>
          <w:tcPr>
            <w:tcW w:w="0" w:type="auto"/>
            <w:vAlign w:val="center"/>
            <w:hideMark/>
          </w:tcPr>
          <w:p w14:paraId="217EAD0B" w14:textId="77777777" w:rsidR="0005157D" w:rsidRPr="0005157D" w:rsidRDefault="0005157D" w:rsidP="0005157D">
            <w:pPr>
              <w:spacing w:after="0" w:line="540" w:lineRule="atLeast"/>
              <w:rPr>
                <w:rFonts w:ascii="Trebuchet MS" w:eastAsia="Times New Roman" w:hAnsi="Trebuchet MS" w:cs="Times New Roman"/>
                <w:b/>
                <w:bCs/>
                <w:color w:val="414F5A"/>
                <w:sz w:val="42"/>
                <w:szCs w:val="42"/>
                <w:lang w:eastAsia="tr-TR"/>
              </w:rPr>
            </w:pPr>
          </w:p>
        </w:tc>
      </w:tr>
      <w:tr w:rsidR="0005157D" w:rsidRPr="0005157D" w14:paraId="1577C403" w14:textId="77777777" w:rsidTr="0005157D">
        <w:trPr>
          <w:tblCellSpacing w:w="0" w:type="dxa"/>
          <w:jc w:val="center"/>
        </w:trPr>
        <w:tc>
          <w:tcPr>
            <w:tcW w:w="0" w:type="auto"/>
            <w:vAlign w:val="center"/>
            <w:hideMark/>
          </w:tcPr>
          <w:p w14:paraId="77410C0A" w14:textId="77777777" w:rsidR="0005157D" w:rsidRPr="0005157D" w:rsidRDefault="0005157D" w:rsidP="0005157D">
            <w:pPr>
              <w:spacing w:after="0" w:line="330" w:lineRule="atLeast"/>
              <w:rPr>
                <w:rFonts w:ascii="Roboto" w:eastAsia="Times New Roman" w:hAnsi="Roboto" w:cs="Times New Roman"/>
                <w:color w:val="414F5A"/>
                <w:sz w:val="24"/>
                <w:szCs w:val="24"/>
                <w:lang w:eastAsia="tr-TR"/>
              </w:rPr>
            </w:pPr>
            <w:r w:rsidRPr="0005157D">
              <w:rPr>
                <w:rFonts w:ascii="Roboto" w:eastAsia="Times New Roman" w:hAnsi="Roboto" w:cs="Times New Roman"/>
                <w:color w:val="414F5A"/>
                <w:sz w:val="24"/>
                <w:szCs w:val="24"/>
                <w:lang w:eastAsia="tr-TR"/>
              </w:rPr>
              <w:t>BIST100 haftanın son işlem gününde yatay seyretti. Kapanış 1408 seviyesinde gerçekleşti. Endekste 1350 seviyesinden başlayan tepki hareketi sınırlı şekilde devam ediyor. Kısa periyot için üzerini iyimserlik bölgesi olarak değerlendirdiğimiz 1420 seviyesi aşılamadığı gibi, 21, 50 ve 100 günlük ortalama altındaki seyir de devam ediyor. Endekste 21 ve 100 günlük ortalamalar 1425/30 bandında, 50 günlük ortalama ise 1453 seviyesinde bulunuyor. Dolayısıyla, BIST100’de çok kısa periyot için 1420/30, günlük bazda ise 1450 ve 1470 (önceki 2 dip) bandı üzerinde rahatlama yaşanabileceğini belirtmemiz mümkün. Olası geri çekilmelerde ise yakın destek olarak 1395-1375 seviyeleri takip edilmesi gerekiyor. 1395 seviyesi altı zayıflama yönünde yeni bir sinyal olarak değerlendirilebilecekken, endekste 200 günlük ortalama 1350 seviyesinde bulunuyor. BIST100 için 1405-1395-1375/65-1350 destek, 1420/30-1450-1465/80 direnç olarak belirtilebilir. 1230-1430 ana kanal</w:t>
            </w:r>
          </w:p>
        </w:tc>
      </w:tr>
    </w:tbl>
    <w:p w14:paraId="5481C233" w14:textId="77777777" w:rsidR="009D7635" w:rsidRDefault="009D7635"/>
    <w:sectPr w:rsidR="009D76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66"/>
    <w:rsid w:val="00036166"/>
    <w:rsid w:val="0005157D"/>
    <w:rsid w:val="009D76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1D070-CE58-4585-A563-E39E971C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2021-05-06T09:51:00Z</dcterms:created>
  <dcterms:modified xsi:type="dcterms:W3CDTF">2021-05-06T09:52:00Z</dcterms:modified>
</cp:coreProperties>
</file>