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0A13B" w14:textId="77777777" w:rsidR="007E3856" w:rsidRP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r w:rsidRPr="007E3856">
        <w:rPr>
          <w:rFonts w:ascii="Times New Roman" w:eastAsia="Times New Roman" w:hAnsi="Times New Roman" w:cs="Times New Roman"/>
          <w:b/>
          <w:bCs/>
          <w:kern w:val="36"/>
          <w:sz w:val="40"/>
          <w:szCs w:val="40"/>
          <w:lang w:eastAsia="tr-TR"/>
        </w:rPr>
        <w:t>1. Tasarruf Finansman Sistemi Nedir?</w:t>
      </w:r>
    </w:p>
    <w:p w14:paraId="7E86232E"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Tasarruf finansman sistemi, konut veya araç gibi yüksek tutarlı ihtiyaçlarını karşılamak isteyen kişileri belirli bir plan dahilinde düzenli ödeme yapmak üzere ortak bir tasarruf havuzunda bir araya getiren bir finansman modelidir. Bu sistemde üyeler belirlenen plan dahilinde taksit ödemelerini yapar ve kura sistemiyle hedefledikleri tutara daha erken ulaşma fırsatı elde edebilirler. Özellikle faizsiz finansman tercih eden kişiler için bankacılık sistemine alternatif bir yöntem olarak Türkiye’de uzun yıllardır uygulanan bir modeldir. Son yıllarda yapılan yasal düzenlemeler ile birlikte tasarruf finansman şirketleri Bankacılık Düzenleme ve Denetleme Kurumu (BDDK) denetimi altına alınmış ve sektör daha kurumsal bir yapıya kavuşmuştur.</w:t>
      </w:r>
    </w:p>
    <w:p w14:paraId="7B00983D" w14:textId="77777777" w:rsidR="007E3856" w:rsidRPr="007E3856" w:rsidRDefault="007E3856" w:rsidP="007E3856">
      <w:pPr>
        <w:spacing w:after="0" w:line="240" w:lineRule="auto"/>
        <w:rPr>
          <w:rFonts w:ascii="Times New Roman" w:eastAsia="Times New Roman" w:hAnsi="Times New Roman" w:cs="Times New Roman"/>
          <w:sz w:val="24"/>
          <w:szCs w:val="24"/>
          <w:lang w:eastAsia="tr-TR"/>
        </w:rPr>
      </w:pPr>
      <w:r w:rsidRPr="007E3856">
        <w:rPr>
          <w:rFonts w:ascii="Times New Roman" w:eastAsia="Times New Roman" w:hAnsi="Times New Roman" w:cs="Times New Roman"/>
          <w:sz w:val="24"/>
          <w:szCs w:val="24"/>
          <w:lang w:eastAsia="tr-TR"/>
        </w:rPr>
        <w:pict w14:anchorId="697DC94C">
          <v:rect id="_x0000_i1025" style="width:0;height:1.5pt" o:hralign="center" o:hrstd="t" o:hr="t" fillcolor="#a0a0a0" stroked="f"/>
        </w:pict>
      </w:r>
    </w:p>
    <w:p w14:paraId="60DD582A" w14:textId="77777777" w:rsidR="007E3856" w:rsidRP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r w:rsidRPr="007E3856">
        <w:rPr>
          <w:rFonts w:ascii="Times New Roman" w:eastAsia="Times New Roman" w:hAnsi="Times New Roman" w:cs="Times New Roman"/>
          <w:b/>
          <w:bCs/>
          <w:kern w:val="36"/>
          <w:sz w:val="40"/>
          <w:szCs w:val="40"/>
          <w:lang w:eastAsia="tr-TR"/>
        </w:rPr>
        <w:t>2. BDDK Düzenlemeleri</w:t>
      </w:r>
    </w:p>
    <w:p w14:paraId="268C34C7"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Türkiye’de tasarruf finansman sistemi 2021 yılında yürürlüğe giren düzenlemeler sonrasında yasal bir çerçeveye kavuşturulmuştur. Bu kapsamda tasarruf finansman şirketlerinin faaliyet gösterebilmesi için belirli şartları yerine getirmesi zorunlu hale getirilmiştir. Yapılan düzenlemeler ile birlikte sistemin daha güvenilir, şeffaf ve denetlenebilir bir yapıya sahip olması amaçlanmıştır.</w:t>
      </w:r>
    </w:p>
    <w:p w14:paraId="6BD170E2"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Bu düzenlemeler kapsamında:</w:t>
      </w:r>
    </w:p>
    <w:p w14:paraId="5CE48FF3"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Lisans Zorunluluğu:</w:t>
      </w:r>
      <w:r w:rsidRPr="007E3856">
        <w:rPr>
          <w:rFonts w:ascii="Times New Roman" w:eastAsia="Times New Roman" w:hAnsi="Times New Roman" w:cs="Times New Roman"/>
          <w:lang w:eastAsia="tr-TR"/>
        </w:rPr>
        <w:t xml:space="preserve"> Tasarruf finansman şirketlerinin faaliyet gösterebilmesi için BDDK’dan lisans alması zorunlu hale getirilmiştir.</w:t>
      </w:r>
    </w:p>
    <w:p w14:paraId="4773553D"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Sermaye Tabanı:</w:t>
      </w:r>
      <w:r w:rsidRPr="007E3856">
        <w:rPr>
          <w:rFonts w:ascii="Times New Roman" w:eastAsia="Times New Roman" w:hAnsi="Times New Roman" w:cs="Times New Roman"/>
          <w:lang w:eastAsia="tr-TR"/>
        </w:rPr>
        <w:t xml:space="preserve"> Asgari ödenmiş sermaye şartı getirilmiş ve şirketlerin belirli bir finansal güce sahip olması zorunlu tutulmuştur.</w:t>
      </w:r>
    </w:p>
    <w:p w14:paraId="2E99D795"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Fon Yönetimi:</w:t>
      </w:r>
      <w:r w:rsidRPr="007E3856">
        <w:rPr>
          <w:rFonts w:ascii="Times New Roman" w:eastAsia="Times New Roman" w:hAnsi="Times New Roman" w:cs="Times New Roman"/>
          <w:lang w:eastAsia="tr-TR"/>
        </w:rPr>
        <w:t xml:space="preserve"> Katılımcılardan toplanan tasarruf fonlarının şirket varlıklarından ayrı tutulması ve güvence altına alınması zorunlu hale getirilmiştir.</w:t>
      </w:r>
    </w:p>
    <w:p w14:paraId="5EF04179"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Raporlama:</w:t>
      </w:r>
      <w:r w:rsidRPr="007E3856">
        <w:rPr>
          <w:rFonts w:ascii="Times New Roman" w:eastAsia="Times New Roman" w:hAnsi="Times New Roman" w:cs="Times New Roman"/>
          <w:lang w:eastAsia="tr-TR"/>
        </w:rPr>
        <w:t xml:space="preserve"> Aylık ve yıllık finansal raporlar ile üye bazlı işlem raporlarının düzenli olarak BDDK’ya sunulması zorunlu hale getirilmiştir.</w:t>
      </w:r>
    </w:p>
    <w:p w14:paraId="420CB0B3"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Kura Denetimi:</w:t>
      </w:r>
      <w:r w:rsidRPr="007E3856">
        <w:rPr>
          <w:rFonts w:ascii="Times New Roman" w:eastAsia="Times New Roman" w:hAnsi="Times New Roman" w:cs="Times New Roman"/>
          <w:lang w:eastAsia="tr-TR"/>
        </w:rPr>
        <w:t xml:space="preserve"> Kura çekilişlerinin noter huzurunda ve denetime açık şekilde yapılması sağlanmıştır.</w:t>
      </w:r>
    </w:p>
    <w:p w14:paraId="7BE39286"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 </w:t>
      </w:r>
      <w:r w:rsidRPr="007E3856">
        <w:rPr>
          <w:rFonts w:ascii="Times New Roman" w:eastAsia="Times New Roman" w:hAnsi="Times New Roman" w:cs="Times New Roman"/>
          <w:b/>
          <w:bCs/>
          <w:lang w:eastAsia="tr-TR"/>
        </w:rPr>
        <w:t>Tüketici Koruması:</w:t>
      </w:r>
      <w:r w:rsidRPr="007E3856">
        <w:rPr>
          <w:rFonts w:ascii="Times New Roman" w:eastAsia="Times New Roman" w:hAnsi="Times New Roman" w:cs="Times New Roman"/>
          <w:lang w:eastAsia="tr-TR"/>
        </w:rPr>
        <w:t xml:space="preserve"> Üyelerin sözleşme öncesinde bilgilendirilmesi, cayma hakkı ve tazminat şartları netleştirilmiştir.</w:t>
      </w:r>
    </w:p>
    <w:p w14:paraId="6479142A" w14:textId="77777777" w:rsidR="007E3856" w:rsidRPr="007E3856" w:rsidRDefault="007E3856" w:rsidP="007E3856">
      <w:pPr>
        <w:spacing w:after="0" w:line="240" w:lineRule="auto"/>
        <w:rPr>
          <w:rFonts w:ascii="Times New Roman" w:eastAsia="Times New Roman" w:hAnsi="Times New Roman" w:cs="Times New Roman"/>
          <w:sz w:val="24"/>
          <w:szCs w:val="24"/>
          <w:lang w:eastAsia="tr-TR"/>
        </w:rPr>
      </w:pPr>
      <w:r w:rsidRPr="007E3856">
        <w:rPr>
          <w:rFonts w:ascii="Times New Roman" w:eastAsia="Times New Roman" w:hAnsi="Times New Roman" w:cs="Times New Roman"/>
          <w:sz w:val="24"/>
          <w:szCs w:val="24"/>
          <w:lang w:eastAsia="tr-TR"/>
        </w:rPr>
        <w:pict w14:anchorId="19A0613F">
          <v:rect id="_x0000_i1026" style="width:0;height:1.5pt" o:hralign="center" o:hrstd="t" o:hr="t" fillcolor="#a0a0a0" stroked="f"/>
        </w:pict>
      </w:r>
    </w:p>
    <w:p w14:paraId="5DECCF6D" w14:textId="77777777" w:rsid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
    <w:p w14:paraId="7B2E1910" w14:textId="77777777" w:rsid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p>
    <w:p w14:paraId="12579EB5" w14:textId="77777777" w:rsid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p>
    <w:p w14:paraId="14078845" w14:textId="5888C76E" w:rsidR="007E3856" w:rsidRP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r w:rsidRPr="007E3856">
        <w:rPr>
          <w:rFonts w:ascii="Times New Roman" w:eastAsia="Times New Roman" w:hAnsi="Times New Roman" w:cs="Times New Roman"/>
          <w:b/>
          <w:bCs/>
          <w:kern w:val="36"/>
          <w:sz w:val="40"/>
          <w:szCs w:val="40"/>
          <w:lang w:eastAsia="tr-TR"/>
        </w:rPr>
        <w:lastRenderedPageBreak/>
        <w:t>3. Temel İş Akışı</w:t>
      </w:r>
    </w:p>
    <w:p w14:paraId="00037FF5"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Tasarruf finansman sisteminin işleyiş süreci katılımcının sisteme dahil olması ile başlamaktadır. Katılımcı öncelikle kendisine uygun bir plan seçerek sözleşme imzalar ve belirlenen taksit planına göre düzenli ödemelerini gerçekleştirir. Daha sonra yapılan kura çekilişleri veya belirlenen teslim sırasına göre katılımcı hedeflediği finansmana ulaşır. Katılımcı finansmanı teslim aldıktan sonra da plan süresi boyunca taksit ödemeye devam eder. Sistem, tüm katılımcıların teslimatlarının tamamlanmasıyla sona erer.</w:t>
      </w:r>
    </w:p>
    <w:p w14:paraId="21509905"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Sistem içerisindeki temel iş akışı şu şekildedir:</w:t>
      </w:r>
    </w:p>
    <w:p w14:paraId="2C0B2571"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Üye sözleşme imzalar ve plan seçer (konut / araç / işyeri / arsa / ticari). </w:t>
      </w:r>
    </w:p>
    <w:p w14:paraId="42A8326F"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Şirket üyeyi sisteme kaydeder ve taksit takvimini oluşturur. </w:t>
      </w:r>
    </w:p>
    <w:p w14:paraId="49A3AE5E"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Üye her ay belirlenen taksiti öder. </w:t>
      </w:r>
    </w:p>
    <w:p w14:paraId="27652CCF"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Şirket kura çekilişlerini düzenler (aylık / dönemlik). </w:t>
      </w:r>
    </w:p>
    <w:p w14:paraId="6F74C0D0"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Üye kura kazanırsa hedef tutarı alır ve ödemeye devam eder. </w:t>
      </w:r>
    </w:p>
    <w:p w14:paraId="6D15CD91"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Üye kura kazanamazsa teslim sırasını bekler; tüm ödemeler tamamlanınca teslim gerçekleşir. </w:t>
      </w:r>
    </w:p>
    <w:p w14:paraId="787C23FD" w14:textId="77777777" w:rsidR="007E3856" w:rsidRPr="007E3856" w:rsidRDefault="007E3856" w:rsidP="007E3856">
      <w:pPr>
        <w:numPr>
          <w:ilvl w:val="0"/>
          <w:numId w:val="1"/>
        </w:num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 xml:space="preserve">Tüm üyeler hedeflerine ulaştığında plan kapatılır. </w:t>
      </w:r>
    </w:p>
    <w:p w14:paraId="4D7DABE7" w14:textId="77777777" w:rsidR="007E3856" w:rsidRPr="007E3856" w:rsidRDefault="007E3856" w:rsidP="007E3856">
      <w:pPr>
        <w:spacing w:after="0" w:line="240" w:lineRule="auto"/>
        <w:rPr>
          <w:rFonts w:ascii="Times New Roman" w:eastAsia="Times New Roman" w:hAnsi="Times New Roman" w:cs="Times New Roman"/>
          <w:sz w:val="24"/>
          <w:szCs w:val="24"/>
          <w:lang w:eastAsia="tr-TR"/>
        </w:rPr>
      </w:pPr>
      <w:r w:rsidRPr="007E3856">
        <w:rPr>
          <w:rFonts w:ascii="Times New Roman" w:eastAsia="Times New Roman" w:hAnsi="Times New Roman" w:cs="Times New Roman"/>
          <w:sz w:val="24"/>
          <w:szCs w:val="24"/>
          <w:lang w:eastAsia="tr-TR"/>
        </w:rPr>
        <w:pict w14:anchorId="38BF724C">
          <v:rect id="_x0000_i1027" style="width:0;height:1.5pt" o:hralign="center" o:hrstd="t" o:hr="t" fillcolor="#a0a0a0" stroked="f"/>
        </w:pict>
      </w:r>
    </w:p>
    <w:p w14:paraId="693894A8" w14:textId="77777777" w:rsidR="007E3856" w:rsidRPr="007E3856" w:rsidRDefault="007E3856" w:rsidP="007E3856">
      <w:pPr>
        <w:spacing w:before="100" w:beforeAutospacing="1" w:after="100" w:afterAutospacing="1" w:line="240" w:lineRule="auto"/>
        <w:outlineLvl w:val="0"/>
        <w:rPr>
          <w:rFonts w:ascii="Times New Roman" w:eastAsia="Times New Roman" w:hAnsi="Times New Roman" w:cs="Times New Roman"/>
          <w:b/>
          <w:bCs/>
          <w:kern w:val="36"/>
          <w:sz w:val="40"/>
          <w:szCs w:val="40"/>
          <w:lang w:eastAsia="tr-TR"/>
        </w:rPr>
      </w:pPr>
      <w:r w:rsidRPr="007E3856">
        <w:rPr>
          <w:rFonts w:ascii="Times New Roman" w:eastAsia="Times New Roman" w:hAnsi="Times New Roman" w:cs="Times New Roman"/>
          <w:b/>
          <w:bCs/>
          <w:kern w:val="36"/>
          <w:sz w:val="40"/>
          <w:szCs w:val="40"/>
          <w:lang w:eastAsia="tr-TR"/>
        </w:rPr>
        <w:t>4. Temel Kavramlar</w:t>
      </w:r>
    </w:p>
    <w:p w14:paraId="3AABE5C5"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lang w:eastAsia="tr-TR"/>
        </w:rPr>
        <w:t>Tasarruf finansman sistemi içerisinde yer alan bazı temel kavramlar sürecin anlaşılması açısından önemlidir:</w:t>
      </w:r>
    </w:p>
    <w:p w14:paraId="6F9A9041"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Kura (Çekiliş):</w:t>
      </w:r>
      <w:r w:rsidRPr="007E3856">
        <w:rPr>
          <w:rFonts w:ascii="Times New Roman" w:eastAsia="Times New Roman" w:hAnsi="Times New Roman" w:cs="Times New Roman"/>
          <w:lang w:eastAsia="tr-TR"/>
        </w:rPr>
        <w:t xml:space="preserve"> Üyeler arasında hedef tutarın hangi sırayla teslim edileceğini belirleyen şans mekanizmasıdır.</w:t>
      </w:r>
    </w:p>
    <w:p w14:paraId="179CF7B7"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Taksit (Aidat):</w:t>
      </w:r>
      <w:r w:rsidRPr="007E3856">
        <w:rPr>
          <w:rFonts w:ascii="Times New Roman" w:eastAsia="Times New Roman" w:hAnsi="Times New Roman" w:cs="Times New Roman"/>
          <w:lang w:eastAsia="tr-TR"/>
        </w:rPr>
        <w:t xml:space="preserve"> Üyenin her dönem ödemekle yükümlü olduğu sabit tutardır.</w:t>
      </w:r>
    </w:p>
    <w:p w14:paraId="7BD7E2BF"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Hedef Tutar:</w:t>
      </w:r>
      <w:r w:rsidRPr="007E3856">
        <w:rPr>
          <w:rFonts w:ascii="Times New Roman" w:eastAsia="Times New Roman" w:hAnsi="Times New Roman" w:cs="Times New Roman"/>
          <w:lang w:eastAsia="tr-TR"/>
        </w:rPr>
        <w:t xml:space="preserve"> Üyenin ulaşmak istediği finansal büyüklüğü ifade eder (örneğin 3.000.000 TL konut değeri).</w:t>
      </w:r>
    </w:p>
    <w:p w14:paraId="2422AD3A"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Vade:</w:t>
      </w:r>
      <w:r w:rsidRPr="007E3856">
        <w:rPr>
          <w:rFonts w:ascii="Times New Roman" w:eastAsia="Times New Roman" w:hAnsi="Times New Roman" w:cs="Times New Roman"/>
          <w:lang w:eastAsia="tr-TR"/>
        </w:rPr>
        <w:t xml:space="preserve"> Planın toplam süresini ifade eder (genellikle 48–240 ay arasında değişir).</w:t>
      </w:r>
    </w:p>
    <w:p w14:paraId="615C5D04"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Abonelik Durumu:</w:t>
      </w:r>
      <w:r w:rsidRPr="007E3856">
        <w:rPr>
          <w:rFonts w:ascii="Times New Roman" w:eastAsia="Times New Roman" w:hAnsi="Times New Roman" w:cs="Times New Roman"/>
          <w:lang w:eastAsia="tr-TR"/>
        </w:rPr>
        <w:t xml:space="preserve"> Üyenin ödeme performansına göre belirlenen aktif / beklemede / terk gibi durumları ifade eder.</w:t>
      </w:r>
    </w:p>
    <w:p w14:paraId="2F693F37"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 xml:space="preserve">Üye </w:t>
      </w:r>
      <w:proofErr w:type="spellStart"/>
      <w:r w:rsidRPr="007E3856">
        <w:rPr>
          <w:rFonts w:ascii="Times New Roman" w:eastAsia="Times New Roman" w:hAnsi="Times New Roman" w:cs="Times New Roman"/>
          <w:b/>
          <w:bCs/>
          <w:lang w:eastAsia="tr-TR"/>
        </w:rPr>
        <w:t>Segmenti</w:t>
      </w:r>
      <w:proofErr w:type="spellEnd"/>
      <w:r w:rsidRPr="007E3856">
        <w:rPr>
          <w:rFonts w:ascii="Times New Roman" w:eastAsia="Times New Roman" w:hAnsi="Times New Roman" w:cs="Times New Roman"/>
          <w:b/>
          <w:bCs/>
          <w:lang w:eastAsia="tr-TR"/>
        </w:rPr>
        <w:t>:</w:t>
      </w:r>
      <w:r w:rsidRPr="007E3856">
        <w:rPr>
          <w:rFonts w:ascii="Times New Roman" w:eastAsia="Times New Roman" w:hAnsi="Times New Roman" w:cs="Times New Roman"/>
          <w:lang w:eastAsia="tr-TR"/>
        </w:rPr>
        <w:t xml:space="preserve"> Gelir düzeyi, ödeme davranışı ve gecikme geçmişine göre oluşturulan sınıflandırma yapısıdır.</w:t>
      </w:r>
    </w:p>
    <w:p w14:paraId="73AAF5DF"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Gecikme Günü:</w:t>
      </w:r>
      <w:r w:rsidRPr="007E3856">
        <w:rPr>
          <w:rFonts w:ascii="Times New Roman" w:eastAsia="Times New Roman" w:hAnsi="Times New Roman" w:cs="Times New Roman"/>
          <w:lang w:eastAsia="tr-TR"/>
        </w:rPr>
        <w:t xml:space="preserve"> Vade tarihi ile fiili ödeme tarihi arasındaki farkı gün cinsinden ifade eder.</w:t>
      </w:r>
    </w:p>
    <w:p w14:paraId="6756D38A" w14:textId="77777777"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Terk:</w:t>
      </w:r>
      <w:r w:rsidRPr="007E3856">
        <w:rPr>
          <w:rFonts w:ascii="Times New Roman" w:eastAsia="Times New Roman" w:hAnsi="Times New Roman" w:cs="Times New Roman"/>
          <w:lang w:eastAsia="tr-TR"/>
        </w:rPr>
        <w:t xml:space="preserve"> Üyenin sistemden plan süresi tamamlanmadan ayrılması durumudur. Bu durumda belirli kesintiler uygulanabilir.</w:t>
      </w:r>
    </w:p>
    <w:p w14:paraId="30C738F9" w14:textId="51A94F5F" w:rsidR="007E3856" w:rsidRPr="007E3856" w:rsidRDefault="007E3856" w:rsidP="007E3856">
      <w:pPr>
        <w:spacing w:before="100" w:beforeAutospacing="1" w:after="100" w:afterAutospacing="1" w:line="240" w:lineRule="auto"/>
        <w:rPr>
          <w:rFonts w:ascii="Times New Roman" w:eastAsia="Times New Roman" w:hAnsi="Times New Roman" w:cs="Times New Roman"/>
          <w:lang w:eastAsia="tr-TR"/>
        </w:rPr>
      </w:pPr>
      <w:r w:rsidRPr="007E3856">
        <w:rPr>
          <w:rFonts w:ascii="Times New Roman" w:eastAsia="Times New Roman" w:hAnsi="Times New Roman" w:cs="Times New Roman"/>
          <w:b/>
          <w:bCs/>
          <w:lang w:eastAsia="tr-TR"/>
        </w:rPr>
        <w:t xml:space="preserve">SCD </w:t>
      </w:r>
      <w:proofErr w:type="spellStart"/>
      <w:r w:rsidRPr="007E3856">
        <w:rPr>
          <w:rFonts w:ascii="Times New Roman" w:eastAsia="Times New Roman" w:hAnsi="Times New Roman" w:cs="Times New Roman"/>
          <w:b/>
          <w:bCs/>
          <w:lang w:eastAsia="tr-TR"/>
        </w:rPr>
        <w:t>Type</w:t>
      </w:r>
      <w:proofErr w:type="spellEnd"/>
      <w:r w:rsidRPr="007E3856">
        <w:rPr>
          <w:rFonts w:ascii="Times New Roman" w:eastAsia="Times New Roman" w:hAnsi="Times New Roman" w:cs="Times New Roman"/>
          <w:b/>
          <w:bCs/>
          <w:lang w:eastAsia="tr-TR"/>
        </w:rPr>
        <w:t xml:space="preserve"> 2:</w:t>
      </w:r>
      <w:r w:rsidRPr="007E3856">
        <w:rPr>
          <w:rFonts w:ascii="Times New Roman" w:eastAsia="Times New Roman" w:hAnsi="Times New Roman" w:cs="Times New Roman"/>
          <w:lang w:eastAsia="tr-TR"/>
        </w:rPr>
        <w:t xml:space="preserve"> Veri ambarı tasarımında kullanılan ve üye bilgilerindeki değişiklik geçmişinin saklanmasını sağlayan boyut tablosu yöntemidir.</w:t>
      </w:r>
    </w:p>
    <w:p w14:paraId="461F7584" w14:textId="62D39165" w:rsidR="007E3856" w:rsidRPr="007E3856" w:rsidRDefault="007E3856" w:rsidP="007E3856"/>
    <w:sectPr w:rsidR="007E3856" w:rsidRPr="007E385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4F24F" w14:textId="77777777" w:rsidR="009441BC" w:rsidRDefault="009441BC" w:rsidP="007E3856">
      <w:pPr>
        <w:spacing w:after="0" w:line="240" w:lineRule="auto"/>
      </w:pPr>
      <w:r>
        <w:separator/>
      </w:r>
    </w:p>
  </w:endnote>
  <w:endnote w:type="continuationSeparator" w:id="0">
    <w:p w14:paraId="1FC6BB6F" w14:textId="77777777" w:rsidR="009441BC" w:rsidRDefault="009441BC" w:rsidP="007E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18075" w14:textId="77777777" w:rsidR="007E3856" w:rsidRDefault="007E385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1A8D" w14:textId="77777777" w:rsidR="007E3856" w:rsidRDefault="007E385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A9D6" w14:textId="77777777" w:rsidR="007E3856" w:rsidRDefault="007E385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91CC2" w14:textId="77777777" w:rsidR="009441BC" w:rsidRDefault="009441BC" w:rsidP="007E3856">
      <w:pPr>
        <w:spacing w:after="0" w:line="240" w:lineRule="auto"/>
      </w:pPr>
      <w:r>
        <w:separator/>
      </w:r>
    </w:p>
  </w:footnote>
  <w:footnote w:type="continuationSeparator" w:id="0">
    <w:p w14:paraId="3F4584F4" w14:textId="77777777" w:rsidR="009441BC" w:rsidRDefault="009441BC" w:rsidP="007E3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F8E91" w14:textId="77777777" w:rsidR="007E3856" w:rsidRDefault="007E385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412A1" w14:textId="75B67600" w:rsidR="007E3856" w:rsidRDefault="007E3856">
    <w:pPr>
      <w:pStyle w:val="stBilgi"/>
    </w:pPr>
    <w:r>
      <w:rPr>
        <w:noProof/>
      </w:rPr>
      <mc:AlternateContent>
        <mc:Choice Requires="wps">
          <w:drawing>
            <wp:anchor distT="0" distB="0" distL="114300" distR="114300" simplePos="0" relativeHeight="251659264" behindDoc="0" locked="0" layoutInCell="1" allowOverlap="1" wp14:anchorId="73D9D429" wp14:editId="74ED4CB4">
              <wp:simplePos x="0" y="0"/>
              <wp:positionH relativeFrom="page">
                <wp:align>right</wp:align>
              </wp:positionH>
              <wp:positionV relativeFrom="page">
                <wp:align>top</wp:align>
              </wp:positionV>
              <wp:extent cx="1870075" cy="383540"/>
              <wp:effectExtent l="0" t="0" r="0" b="0"/>
              <wp:wrapNone/>
              <wp:docPr id="1" name="geodi_dlp_header"/>
              <wp:cNvGraphicFramePr/>
              <a:graphic xmlns:a="http://schemas.openxmlformats.org/drawingml/2006/main">
                <a:graphicData uri="http://schemas.microsoft.com/office/word/2010/wordprocessingShape">
                  <wps:wsp>
                    <wps:cNvSpPr txBox="1"/>
                    <wps:spPr>
                      <a:xfrm>
                        <a:off x="0" y="0"/>
                        <a:ext cx="1870075" cy="3835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7BA1CD" w14:textId="2F26672B" w:rsidR="007E3856" w:rsidRPr="007E3856" w:rsidRDefault="007E3856" w:rsidP="007E3856">
                          <w:pPr>
                            <w:spacing w:before="240"/>
                            <w:ind w:right="240"/>
                            <w:jc w:val="right"/>
                            <w:rPr>
                              <w:rFonts w:ascii="Arial" w:hAnsi="Arial" w:cs="Arial"/>
                              <w:b/>
                              <w:color w:val="FF0000"/>
                              <w:sz w:val="16"/>
                              <w14:textFill>
                                <w14:solidFill>
                                  <w14:srgbClr w14:val="FF0000">
                                    <w14:alpha w14:val="20000"/>
                                  </w14:srgbClr>
                                </w14:solidFill>
                              </w14:textFill>
                            </w:rPr>
                          </w:pPr>
                          <w:r w:rsidRPr="007E3856">
                            <w:rPr>
                              <w:rFonts w:ascii="Arial" w:hAnsi="Arial" w:cs="Arial"/>
                              <w:b/>
                              <w:color w:val="FF0000"/>
                              <w:sz w:val="16"/>
                              <w14:textFill>
                                <w14:solidFill>
                                  <w14:srgbClr w14:val="FF0000">
                                    <w14:alpha w14:val="20000"/>
                                  </w14:srgbClr>
                                </w14:solidFill>
                              </w14:textFill>
                            </w:rPr>
                            <w:t>Sınıflandırma: Gizli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D9D429" id="_x0000_t202" coordsize="21600,21600" o:spt="202" path="m,l,21600r21600,l21600,xe">
              <v:stroke joinstyle="miter"/>
              <v:path gradientshapeok="t" o:connecttype="rect"/>
            </v:shapetype>
            <v:shape id="geodi_dlp_header" o:spid="_x0000_s1026" type="#_x0000_t202" style="position:absolute;margin-left:96.05pt;margin-top:0;width:147.25pt;height:30.2pt;z-index:25165926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" filled="f" stroked="f" strokeweight=".5pt">
              <v:fill o:detectmouseclick="t"/>
              <v:textbox>
                <w:txbxContent>
                  <w:p w14:paraId="177BA1CD" w14:textId="2F26672B" w:rsidR="007E3856" w:rsidRPr="007E3856" w:rsidRDefault="007E3856" w:rsidP="007E3856">
                    <w:pPr>
                      <w:spacing w:before="240"/>
                      <w:ind w:right="240"/>
                      <w:jc w:val="right"/>
                      <w:rPr>
                        <w:rFonts w:ascii="Arial" w:hAnsi="Arial" w:cs="Arial"/>
                        <w:b/>
                        <w:color w:val="FF0000"/>
                        <w:sz w:val="16"/>
                        <w14:textFill>
                          <w14:solidFill>
                            <w14:srgbClr w14:val="FF0000">
                              <w14:alpha w14:val="20000"/>
                            </w14:srgbClr>
                          </w14:solidFill>
                        </w14:textFill>
                      </w:rPr>
                    </w:pPr>
                    <w:r w:rsidRPr="007E3856">
                      <w:rPr>
                        <w:rFonts w:ascii="Arial" w:hAnsi="Arial" w:cs="Arial"/>
                        <w:b/>
                        <w:color w:val="FF0000"/>
                        <w:sz w:val="16"/>
                        <w14:textFill>
                          <w14:solidFill>
                            <w14:srgbClr w14:val="FF0000">
                              <w14:alpha w14:val="20000"/>
                            </w14:srgbClr>
                          </w14:solidFill>
                        </w14:textFill>
                      </w:rPr>
                      <w:t>Sınıflandırma: Gizli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C86DB" w14:textId="77777777" w:rsidR="007E3856" w:rsidRDefault="007E385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3C3E"/>
    <w:multiLevelType w:val="multilevel"/>
    <w:tmpl w:val="C3A2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E79"/>
    <w:rsid w:val="000C5C68"/>
    <w:rsid w:val="00252958"/>
    <w:rsid w:val="00255C92"/>
    <w:rsid w:val="005A0E79"/>
    <w:rsid w:val="007E3856"/>
    <w:rsid w:val="009441BC"/>
    <w:rsid w:val="00B96A45"/>
    <w:rsid w:val="00C47ACA"/>
    <w:rsid w:val="00F357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A7B0F"/>
  <w15:chartTrackingRefBased/>
  <w15:docId w15:val="{492238DE-A09E-421E-AD41-35AE1A9D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7E38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96A45"/>
    <w:pPr>
      <w:ind w:left="720"/>
      <w:contextualSpacing/>
    </w:pPr>
  </w:style>
  <w:style w:type="character" w:customStyle="1" w:styleId="Balk1Char">
    <w:name w:val="Başlık 1 Char"/>
    <w:basedOn w:val="VarsaylanParagrafYazTipi"/>
    <w:link w:val="Balk1"/>
    <w:uiPriority w:val="9"/>
    <w:rsid w:val="007E3856"/>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7E385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whitespace-normal">
    <w:name w:val="whitespace-normal"/>
    <w:basedOn w:val="VarsaylanParagrafYazTipi"/>
    <w:rsid w:val="007E3856"/>
  </w:style>
  <w:style w:type="character" w:styleId="Gl">
    <w:name w:val="Strong"/>
    <w:basedOn w:val="VarsaylanParagrafYazTipi"/>
    <w:uiPriority w:val="22"/>
    <w:qFormat/>
    <w:rsid w:val="007E3856"/>
    <w:rPr>
      <w:b/>
      <w:bCs/>
    </w:rPr>
  </w:style>
  <w:style w:type="paragraph" w:styleId="stBilgi">
    <w:name w:val="header"/>
    <w:basedOn w:val="Normal"/>
    <w:link w:val="stBilgiChar"/>
    <w:uiPriority w:val="99"/>
    <w:unhideWhenUsed/>
    <w:rsid w:val="007E385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E3856"/>
  </w:style>
  <w:style w:type="paragraph" w:styleId="AltBilgi">
    <w:name w:val="footer"/>
    <w:basedOn w:val="Normal"/>
    <w:link w:val="AltBilgiChar"/>
    <w:uiPriority w:val="99"/>
    <w:unhideWhenUsed/>
    <w:rsid w:val="007E385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E3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40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611</Words>
  <Characters>3483</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Hasime Nur ŞAHİN (Yazılım Stajyeri)</dc:creator>
  <cp:keywords/>
  <dc:description/>
  <cp:lastModifiedBy>Hasime Nur ŞAHİN (Yazılım Stajyeri)</cp:lastModifiedBy>
  <cp:revision>1</cp:revision>
  <dcterms:created xsi:type="dcterms:W3CDTF">2026-04-15T07:19:00Z</dcterms:created>
  <dcterms:modified xsi:type="dcterms:W3CDTF">2026-04-15T08:16:00Z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dilabelclass">
    <vt:lpwstr>id_classification_secret=2155a213-0150-4c2d-9211-dba2def647fd</vt:lpwstr>
  </property>
  <property fmtid="{D5CDD505-2E9C-101B-9397-08002B2CF9AE}" pid="3" name="geodilabeluser">
    <vt:lpwstr>user=STJ086</vt:lpwstr>
  </property>
  <property fmtid="{D5CDD505-2E9C-101B-9397-08002B2CF9AE}" pid="4" name="geodilabeltime">
    <vt:lpwstr>datetime=2026-04-15T08:16:50.370Z</vt:lpwstr>
  </property>
</Properties>
</file>