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4758582724a4c8c5d6e4be399d0a67d673f7bd5"/>
    <w:p>
      <w:pPr>
        <w:pStyle w:val="Heading1"/>
      </w:pPr>
      <w:r>
        <w:t xml:space="preserve">Reviewer Response: Additional Analyses for Stem Cell Aging Microbiome Study</w:t>
      </w:r>
    </w:p>
    <w:p>
      <w:pPr>
        <w:pStyle w:val="FirstParagraph"/>
      </w:pPr>
      <w:r>
        <w:rPr>
          <w:b/>
          <w:bCs/>
        </w:rPr>
        <w:t xml:space="preserve">Last updated:</w:t>
      </w:r>
      <w:r>
        <w:t xml:space="preserve"> </w:t>
      </w:r>
      <w:r>
        <w:t xml:space="preserve">February 16, 2026</w:t>
      </w:r>
      <w:r>
        <w:t xml:space="preserve"> </w:t>
      </w:r>
      <w:r>
        <w:rPr>
          <w:b/>
          <w:bCs/>
        </w:rPr>
        <w:t xml:space="preserve">Document Purpose:</w:t>
      </w:r>
      <w:r>
        <w:t xml:space="preserve"> </w:t>
      </w:r>
      <w:r>
        <w:t xml:space="preserve">Summary of additional analyses performed in response to reviewer comments, with suggested manuscript text and figure inventory.</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b37b064ee25d28e0d3d08cce74b05a14005ae2">
        <w:r>
          <w:rPr>
            <w:rStyle w:val="Hyperlink"/>
          </w:rPr>
          <w:t xml:space="preserve">Alpha Diversity Metrics and Rarefaction Curves</w:t>
        </w:r>
      </w:hyperlink>
    </w:p>
    <w:p>
      <w:pPr>
        <w:pStyle w:val="Compact"/>
        <w:numPr>
          <w:ilvl w:val="0"/>
          <w:numId w:val="1001"/>
        </w:numPr>
      </w:pPr>
      <w:hyperlink w:anchor="X7e702e59c56b75e4fb1d979e88edf781d893195">
        <w:r>
          <w:rPr>
            <w:rStyle w:val="Hyperlink"/>
          </w:rPr>
          <w:t xml:space="preserve">Pathway Differential Abundance (ALDEx2, DESeq2, MaAsLin2)</w:t>
        </w:r>
      </w:hyperlink>
    </w:p>
    <w:p>
      <w:pPr>
        <w:pStyle w:val="Compact"/>
        <w:numPr>
          <w:ilvl w:val="0"/>
          <w:numId w:val="1001"/>
        </w:numPr>
      </w:pPr>
      <w:hyperlink w:anchor="Xfd32b67d89522e7f3197d8d33861c357b60be9d">
        <w:r>
          <w:rPr>
            <w:rStyle w:val="Hyperlink"/>
          </w:rPr>
          <w:t xml:space="preserve">Targeted Vitamin B6 Pathway Analysis</w:t>
        </w:r>
      </w:hyperlink>
    </w:p>
    <w:p>
      <w:pPr>
        <w:pStyle w:val="Compact"/>
        <w:numPr>
          <w:ilvl w:val="0"/>
          <w:numId w:val="1001"/>
        </w:numPr>
      </w:pPr>
      <w:hyperlink w:anchor="Xe6c86338ad18c73f12d39cefe4775f335607815">
        <w:r>
          <w:rPr>
            <w:rStyle w:val="Hyperlink"/>
          </w:rPr>
          <w:t xml:space="preserve">Batch Effect Assessment and Correction</w:t>
        </w:r>
      </w:hyperlink>
    </w:p>
    <w:p>
      <w:pPr>
        <w:pStyle w:val="Compact"/>
        <w:numPr>
          <w:ilvl w:val="0"/>
          <w:numId w:val="1001"/>
        </w:numPr>
      </w:pPr>
      <w:hyperlink w:anchor="Xbef5fba5df4cfa5ab2ded54f4a10046df54c360">
        <w:r>
          <w:rPr>
            <w:rStyle w:val="Hyperlink"/>
          </w:rPr>
          <w:t xml:space="preserve">Power Analysis and Sample Size Justification</w:t>
        </w:r>
      </w:hyperlink>
    </w:p>
    <w:p>
      <w:pPr>
        <w:pStyle w:val="Compact"/>
        <w:numPr>
          <w:ilvl w:val="0"/>
          <w:numId w:val="1001"/>
        </w:numPr>
      </w:pPr>
      <w:hyperlink w:anchor="Xd29508c687a4d3b3de0d1f628c79f96076045d6">
        <w:r>
          <w:rPr>
            <w:rStyle w:val="Hyperlink"/>
          </w:rPr>
          <w:t xml:space="preserve">PCA with Variance Explained</w:t>
        </w:r>
      </w:hyperlink>
    </w:p>
    <w:p>
      <w:pPr>
        <w:pStyle w:val="Compact"/>
        <w:numPr>
          <w:ilvl w:val="0"/>
          <w:numId w:val="1001"/>
        </w:numPr>
      </w:pPr>
      <w:hyperlink w:anchor="X4df5f2ae231e1504d2406b700a3e311898ab9a5">
        <w:r>
          <w:rPr>
            <w:rStyle w:val="Hyperlink"/>
          </w:rPr>
          <w:t xml:space="preserve">Kraken Database Details</w:t>
        </w:r>
      </w:hyperlink>
    </w:p>
    <w:p>
      <w:pPr>
        <w:pStyle w:val="Compact"/>
        <w:numPr>
          <w:ilvl w:val="0"/>
          <w:numId w:val="1001"/>
        </w:numPr>
      </w:pPr>
      <w:hyperlink w:anchor="Xdc5b6cc2f76ab34bf2b8fb1e2abeb878a71e7fe">
        <w:r>
          <w:rPr>
            <w:rStyle w:val="Hyperlink"/>
          </w:rPr>
          <w:t xml:space="preserve">Summary of Key Findings</w:t>
        </w:r>
      </w:hyperlink>
    </w:p>
    <w:p>
      <w:pPr>
        <w:pStyle w:val="Compact"/>
        <w:numPr>
          <w:ilvl w:val="0"/>
          <w:numId w:val="1001"/>
        </w:numPr>
      </w:pPr>
      <w:hyperlink w:anchor="Xd3dc6d9df6a904e8e8b1ee56e0e113a932f44b0">
        <w:r>
          <w:rPr>
            <w:rStyle w:val="Hyperlink"/>
          </w:rPr>
          <w:t xml:space="preserve">Suggested Reviewer Response Text</w:t>
        </w:r>
      </w:hyperlink>
    </w:p>
    <w:p>
      <w:pPr>
        <w:pStyle w:val="Compact"/>
        <w:numPr>
          <w:ilvl w:val="0"/>
          <w:numId w:val="1001"/>
        </w:numPr>
      </w:pPr>
      <w:hyperlink w:anchor="X63365b40953ececee1184920e74356b9676efb3">
        <w:r>
          <w:rPr>
            <w:rStyle w:val="Hyperlink"/>
          </w:rPr>
          <w:t xml:space="preserve">Suggested Methods &amp; Materials Text</w:t>
        </w:r>
      </w:hyperlink>
    </w:p>
    <w:p>
      <w:pPr>
        <w:pStyle w:val="Compact"/>
        <w:numPr>
          <w:ilvl w:val="0"/>
          <w:numId w:val="1001"/>
        </w:numPr>
      </w:pPr>
      <w:hyperlink w:anchor="X6cc6fb3464c2c16b1d6678edfcb7f63298388f1">
        <w:r>
          <w:rPr>
            <w:rStyle w:val="Hyperlink"/>
          </w:rPr>
          <w:t xml:space="preserve">Suggested Discussion Text</w:t>
        </w:r>
      </w:hyperlink>
    </w:p>
    <w:p>
      <w:pPr>
        <w:pStyle w:val="Compact"/>
        <w:numPr>
          <w:ilvl w:val="0"/>
          <w:numId w:val="1001"/>
        </w:numPr>
      </w:pPr>
      <w:hyperlink w:anchor="Xfbfe524cb2a1d0e5ff6bc79a7d69fcbe61921f3">
        <w:r>
          <w:rPr>
            <w:rStyle w:val="Hyperlink"/>
          </w:rPr>
          <w:t xml:space="preserve">Complete File Inventory</w:t>
        </w:r>
      </w:hyperlink>
    </w:p>
    <w:p>
      <w:pPr>
        <w:pStyle w:val="Compact"/>
        <w:numPr>
          <w:ilvl w:val="0"/>
          <w:numId w:val="1001"/>
        </w:numPr>
      </w:pPr>
      <w:hyperlink w:anchor="X74a854968355eab852cc33b98e720de1c54bb6d">
        <w:r>
          <w:rPr>
            <w:rStyle w:val="Hyperlink"/>
          </w:rPr>
          <w:t xml:space="preserve">Analysis Scripts</w:t>
        </w:r>
      </w:hyperlink>
    </w:p>
    <w:p>
      <w:r>
        <w:pict>
          <v:rect style="width:0;height:1.5pt" o:hralign="center" o:hrstd="t" o:hr="t"/>
        </w:pict>
      </w:r>
    </w:p>
    <w:bookmarkEnd w:id="9"/>
    <w:bookmarkStart w:id="18" w:name="X50f676fbdf9f94e8e67aeda01b3204d0f2bf73a"/>
    <w:p>
      <w:pPr>
        <w:pStyle w:val="Heading2"/>
      </w:pPr>
      <w:r>
        <w:t xml:space="preserve">1. Alpha Diversity Metrics and Rarefaction Curves</w:t>
      </w:r>
    </w:p>
    <w:bookmarkStart w:id="10" w:name="reviewer-comment"/>
    <w:p>
      <w:pPr>
        <w:pStyle w:val="Heading3"/>
      </w:pPr>
      <w:r>
        <w:t xml:space="preserve">Reviewer Comment</w:t>
      </w:r>
    </w:p>
    <w:p>
      <w:pPr>
        <w:pStyle w:val="BlockText"/>
      </w:pPr>
      <w:r>
        <w:t xml:space="preserve">“Provide α-diversity metrics (Shannon, Simpson, Chao1) and rarefaction curves to complement PCoA and Bray-Curtis analyses”</w:t>
      </w:r>
    </w:p>
    <w:bookmarkEnd w:id="10"/>
    <w:bookmarkStart w:id="11" w:name="analysis-performed"/>
    <w:p>
      <w:pPr>
        <w:pStyle w:val="Heading3"/>
      </w:pPr>
      <w:r>
        <w:t xml:space="preserve">Analysis Performed</w:t>
      </w:r>
    </w:p>
    <w:p>
      <w:pPr>
        <w:pStyle w:val="FirstParagraph"/>
      </w:pPr>
      <w:r>
        <w:t xml:space="preserve">Three complementary alpha diversity metrics were calculated:</w:t>
      </w:r>
      <w:r>
        <w:t xml:space="preserve"> </w:t>
      </w:r>
      <w:r>
        <w:t xml:space="preserve">-</w:t>
      </w:r>
      <w:r>
        <w:t xml:space="preserve"> </w:t>
      </w:r>
      <w:r>
        <w:rPr>
          <w:b/>
          <w:bCs/>
        </w:rPr>
        <w:t xml:space="preserve">Shannon Index</w:t>
      </w:r>
      <w:r>
        <w:t xml:space="preserve">: Accounts for both richness and evenness</w:t>
      </w:r>
      <w:r>
        <w:t xml:space="preserve"> </w:t>
      </w:r>
      <w:r>
        <w:t xml:space="preserve">-</w:t>
      </w:r>
      <w:r>
        <w:t xml:space="preserve"> </w:t>
      </w:r>
      <w:r>
        <w:rPr>
          <w:b/>
          <w:bCs/>
        </w:rPr>
        <w:t xml:space="preserve">Simpson Index</w:t>
      </w:r>
      <w:r>
        <w:t xml:space="preserve">: Probability that two randomly selected individuals belong to different species</w:t>
      </w:r>
      <w:r>
        <w:t xml:space="preserve"> </w:t>
      </w:r>
      <w:r>
        <w:t xml:space="preserve">-</w:t>
      </w:r>
      <w:r>
        <w:t xml:space="preserve"> </w:t>
      </w:r>
      <w:r>
        <w:rPr>
          <w:b/>
          <w:bCs/>
        </w:rPr>
        <w:t xml:space="preserve">Chao1 Richness Estimator</w:t>
      </w:r>
      <w:r>
        <w:t xml:space="preserve">: Estimates total species richness including unobserved species</w:t>
      </w:r>
    </w:p>
    <w:p>
      <w:pPr>
        <w:pStyle w:val="BodyText"/>
      </w:pPr>
      <w:r>
        <w:t xml:space="preserve">Rarefaction curves were generated to assess sequencing depth adequacy.</w:t>
      </w:r>
    </w:p>
    <w:bookmarkEnd w:id="11"/>
    <w:bookmarkStart w:id="15" w:name="results"/>
    <w:p>
      <w:pPr>
        <w:pStyle w:val="Heading3"/>
      </w:pPr>
      <w:r>
        <w:t xml:space="preserve">Results</w:t>
      </w:r>
    </w:p>
    <w:bookmarkStart w:id="12" w:name="alpha-diversity-by-group"/>
    <w:p>
      <w:pPr>
        <w:pStyle w:val="Heading4"/>
      </w:pPr>
      <w:r>
        <w:t xml:space="preserve">Alpha Diversity by Group</w:t>
      </w:r>
    </w:p>
    <w:tbl>
      <w:tblPr>
        <w:tblStyle w:val="Table"/>
        <w:tblW w:type="pct" w:w="5000"/>
        <w:tblLayout w:type="fixed"/>
        <w:tblLook w:firstRow="1" w:lastRow="0" w:firstColumn="0" w:lastColumn="0" w:noHBand="0" w:noVBand="0" w:val="0020"/>
      </w:tblPr>
      <w:tblGrid>
        <w:gridCol w:w="780"/>
        <w:gridCol w:w="334"/>
        <w:gridCol w:w="2342"/>
        <w:gridCol w:w="2342"/>
        <w:gridCol w:w="2119"/>
      </w:tblGrid>
      <w:tr>
        <w:trPr>
          <w:tblHeader w:val="on"/>
        </w:trPr>
        <w:tc>
          <w:tcPr/>
          <w:p>
            <w:pPr>
              <w:pStyle w:val="Compact"/>
            </w:pPr>
            <w:r>
              <w:t xml:space="preserve">Group</w:t>
            </w:r>
          </w:p>
        </w:tc>
        <w:tc>
          <w:tcPr/>
          <w:p>
            <w:pPr>
              <w:pStyle w:val="Compact"/>
            </w:pPr>
            <w:r>
              <w:t xml:space="preserve">n</w:t>
            </w:r>
          </w:p>
        </w:tc>
        <w:tc>
          <w:tcPr/>
          <w:p>
            <w:pPr>
              <w:pStyle w:val="Compact"/>
            </w:pPr>
            <w:r>
              <w:t xml:space="preserve">Shannon (mean ± SD)</w:t>
            </w:r>
          </w:p>
        </w:tc>
        <w:tc>
          <w:tcPr/>
          <w:p>
            <w:pPr>
              <w:pStyle w:val="Compact"/>
            </w:pPr>
            <w:r>
              <w:t xml:space="preserve">Simpson (mean ± SD)</w:t>
            </w:r>
          </w:p>
        </w:tc>
        <w:tc>
          <w:tcPr/>
          <w:p>
            <w:pPr>
              <w:pStyle w:val="Compact"/>
            </w:pPr>
            <w:r>
              <w:t xml:space="preserve">Chao1 (mean ± SD)</w:t>
            </w:r>
          </w:p>
        </w:tc>
      </w:tr>
      <w:tr>
        <w:tc>
          <w:tcPr/>
          <w:p>
            <w:pPr>
              <w:pStyle w:val="Compact"/>
            </w:pPr>
            <w:r>
              <w:t xml:space="preserve">Y (Young)</w:t>
            </w:r>
          </w:p>
        </w:tc>
        <w:tc>
          <w:tcPr/>
          <w:p>
            <w:pPr>
              <w:pStyle w:val="Compact"/>
            </w:pPr>
            <w:r>
              <w:t xml:space="preserve">11</w:t>
            </w:r>
          </w:p>
        </w:tc>
        <w:tc>
          <w:tcPr/>
          <w:p>
            <w:pPr>
              <w:pStyle w:val="Compact"/>
            </w:pPr>
            <w:r>
              <w:t xml:space="preserve">4.03 ± 0.31</w:t>
            </w:r>
          </w:p>
        </w:tc>
        <w:tc>
          <w:tcPr/>
          <w:p>
            <w:pPr>
              <w:pStyle w:val="Compact"/>
            </w:pPr>
            <w:r>
              <w:t xml:space="preserve">0.954 ± 0.016</w:t>
            </w:r>
          </w:p>
        </w:tc>
        <w:tc>
          <w:tcPr/>
          <w:p>
            <w:pPr>
              <w:pStyle w:val="Compact"/>
            </w:pPr>
            <w:r>
              <w:t xml:space="preserve">1345 ± 66</w:t>
            </w:r>
          </w:p>
        </w:tc>
      </w:tr>
      <w:tr>
        <w:tc>
          <w:tcPr/>
          <w:p>
            <w:pPr>
              <w:pStyle w:val="Compact"/>
            </w:pPr>
            <w:r>
              <w:t xml:space="preserve">O (Old)</w:t>
            </w:r>
          </w:p>
        </w:tc>
        <w:tc>
          <w:tcPr/>
          <w:p>
            <w:pPr>
              <w:pStyle w:val="Compact"/>
            </w:pPr>
            <w:r>
              <w:t xml:space="preserve">11</w:t>
            </w:r>
          </w:p>
        </w:tc>
        <w:tc>
          <w:tcPr/>
          <w:p>
            <w:pPr>
              <w:pStyle w:val="Compact"/>
            </w:pPr>
            <w:r>
              <w:t xml:space="preserve">3.87 ± 0.55</w:t>
            </w:r>
          </w:p>
        </w:tc>
        <w:tc>
          <w:tcPr/>
          <w:p>
            <w:pPr>
              <w:pStyle w:val="Compact"/>
            </w:pPr>
            <w:r>
              <w:t xml:space="preserve">0.934 ± 0.040</w:t>
            </w:r>
          </w:p>
        </w:tc>
        <w:tc>
          <w:tcPr/>
          <w:p>
            <w:pPr>
              <w:pStyle w:val="Compact"/>
            </w:pPr>
            <w:r>
              <w:t xml:space="preserve">1360 ± 82</w:t>
            </w:r>
          </w:p>
        </w:tc>
      </w:tr>
      <w:tr>
        <w:tc>
          <w:tcPr/>
          <w:p>
            <w:pPr>
              <w:pStyle w:val="Compact"/>
            </w:pPr>
            <w:r>
              <w:t xml:space="preserve">RAG1-/-</w:t>
            </w:r>
          </w:p>
        </w:tc>
        <w:tc>
          <w:tcPr/>
          <w:p>
            <w:pPr>
              <w:pStyle w:val="Compact"/>
            </w:pPr>
            <w:r>
              <w:t xml:space="preserve">6</w:t>
            </w:r>
          </w:p>
        </w:tc>
        <w:tc>
          <w:tcPr/>
          <w:p>
            <w:pPr>
              <w:pStyle w:val="Compact"/>
            </w:pPr>
            <w:r>
              <w:t xml:space="preserve">4.48 ± 0.05</w:t>
            </w:r>
          </w:p>
        </w:tc>
        <w:tc>
          <w:tcPr/>
          <w:p>
            <w:pPr>
              <w:pStyle w:val="Compact"/>
            </w:pPr>
            <w:r>
              <w:t xml:space="preserve">0.973 ± 0.003</w:t>
            </w:r>
          </w:p>
        </w:tc>
        <w:tc>
          <w:tcPr/>
          <w:p>
            <w:pPr>
              <w:pStyle w:val="Compact"/>
            </w:pPr>
            <w:r>
              <w:t xml:space="preserve">1176 ± 137</w:t>
            </w:r>
          </w:p>
        </w:tc>
      </w:tr>
      <w:tr>
        <w:tc>
          <w:tcPr/>
          <w:p>
            <w:pPr>
              <w:pStyle w:val="Compact"/>
            </w:pPr>
            <w:r>
              <w:t xml:space="preserve">DY</w:t>
            </w:r>
          </w:p>
        </w:tc>
        <w:tc>
          <w:tcPr/>
          <w:p>
            <w:pPr>
              <w:pStyle w:val="Compact"/>
            </w:pPr>
            <w:r>
              <w:t xml:space="preserve">15</w:t>
            </w:r>
          </w:p>
        </w:tc>
        <w:tc>
          <w:tcPr/>
          <w:p>
            <w:pPr>
              <w:pStyle w:val="Compact"/>
            </w:pPr>
            <w:r>
              <w:t xml:space="preserve">3.25 ± 1.00</w:t>
            </w:r>
          </w:p>
        </w:tc>
        <w:tc>
          <w:tcPr/>
          <w:p>
            <w:pPr>
              <w:pStyle w:val="Compact"/>
            </w:pPr>
            <w:r>
              <w:t xml:space="preserve">0.827 ± 0.178</w:t>
            </w:r>
          </w:p>
        </w:tc>
        <w:tc>
          <w:tcPr/>
          <w:p>
            <w:pPr>
              <w:pStyle w:val="Compact"/>
            </w:pPr>
            <w:r>
              <w:t xml:space="preserve">1123 ± 400</w:t>
            </w:r>
          </w:p>
        </w:tc>
      </w:tr>
      <w:tr>
        <w:tc>
          <w:tcPr/>
          <w:p>
            <w:pPr>
              <w:pStyle w:val="Compact"/>
            </w:pPr>
            <w:r>
              <w:t xml:space="preserve">DO</w:t>
            </w:r>
          </w:p>
        </w:tc>
        <w:tc>
          <w:tcPr/>
          <w:p>
            <w:pPr>
              <w:pStyle w:val="Compact"/>
            </w:pPr>
            <w:r>
              <w:t xml:space="preserve">15</w:t>
            </w:r>
          </w:p>
        </w:tc>
        <w:tc>
          <w:tcPr/>
          <w:p>
            <w:pPr>
              <w:pStyle w:val="Compact"/>
            </w:pPr>
            <w:r>
              <w:t xml:space="preserve">2.96 ± 1.08</w:t>
            </w:r>
          </w:p>
        </w:tc>
        <w:tc>
          <w:tcPr/>
          <w:p>
            <w:pPr>
              <w:pStyle w:val="Compact"/>
            </w:pPr>
            <w:r>
              <w:t xml:space="preserve">0.793 ± 0.198</w:t>
            </w:r>
          </w:p>
        </w:tc>
        <w:tc>
          <w:tcPr/>
          <w:p>
            <w:pPr>
              <w:pStyle w:val="Compact"/>
            </w:pPr>
            <w:r>
              <w:t xml:space="preserve">996 ± 288</w:t>
            </w:r>
          </w:p>
        </w:tc>
      </w:tr>
    </w:tbl>
    <w:bookmarkEnd w:id="12"/>
    <w:bookmarkStart w:id="13" w:name="X78d6f913a2b692ce4672cc39e8962cae792848d"/>
    <w:p>
      <w:pPr>
        <w:pStyle w:val="Heading4"/>
      </w:pPr>
      <w:r>
        <w:t xml:space="preserve">Statistical Comparisons (Wilcoxon rank-sum, 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Shannon p</w:t>
            </w:r>
          </w:p>
        </w:tc>
        <w:tc>
          <w:tcPr/>
          <w:p>
            <w:pPr>
              <w:pStyle w:val="Compact"/>
            </w:pPr>
            <w:r>
              <w:t xml:space="preserve">Simpson p</w:t>
            </w:r>
          </w:p>
        </w:tc>
        <w:tc>
          <w:tcPr/>
          <w:p>
            <w:pPr>
              <w:pStyle w:val="Compact"/>
            </w:pPr>
            <w:r>
              <w:t xml:space="preserve">Chao1 p</w:t>
            </w:r>
          </w:p>
        </w:tc>
      </w:tr>
      <w:tr>
        <w:tc>
          <w:tcPr/>
          <w:p>
            <w:pPr>
              <w:pStyle w:val="Compact"/>
            </w:pPr>
            <w:r>
              <w:t xml:space="preserve">Y vs DY</w:t>
            </w:r>
          </w:p>
        </w:tc>
        <w:tc>
          <w:tcPr/>
          <w:p>
            <w:pPr>
              <w:pStyle w:val="Compact"/>
            </w:pPr>
            <w:r>
              <w:t xml:space="preserve">0.018*</w:t>
            </w:r>
          </w:p>
        </w:tc>
        <w:tc>
          <w:tcPr/>
          <w:p>
            <w:pPr>
              <w:pStyle w:val="Compact"/>
            </w:pPr>
            <w:r>
              <w:t xml:space="preserve">0.009**</w:t>
            </w:r>
          </w:p>
        </w:tc>
        <w:tc>
          <w:tcPr/>
          <w:p>
            <w:pPr>
              <w:pStyle w:val="Compact"/>
            </w:pPr>
            <w:r>
              <w:t xml:space="preserve">0.030*</w:t>
            </w:r>
          </w:p>
        </w:tc>
      </w:tr>
      <w:tr>
        <w:tc>
          <w:tcPr/>
          <w:p>
            <w:pPr>
              <w:pStyle w:val="Compact"/>
            </w:pPr>
            <w:r>
              <w:t xml:space="preserve">Y vs RAG1-/-</w:t>
            </w:r>
          </w:p>
        </w:tc>
        <w:tc>
          <w:tcPr/>
          <w:p>
            <w:pPr>
              <w:pStyle w:val="Compact"/>
            </w:pPr>
            <w:r>
              <w:t xml:space="preserve">&lt;0.001***</w:t>
            </w:r>
          </w:p>
        </w:tc>
        <w:tc>
          <w:tcPr/>
          <w:p>
            <w:pPr>
              <w:pStyle w:val="Compact"/>
            </w:pPr>
            <w:r>
              <w:t xml:space="preserve">0.002**</w:t>
            </w:r>
          </w:p>
        </w:tc>
        <w:tc>
          <w:tcPr/>
          <w:p>
            <w:pPr>
              <w:pStyle w:val="Compact"/>
            </w:pPr>
            <w:r>
              <w:t xml:space="preserve">0.007**</w:t>
            </w:r>
          </w:p>
        </w:tc>
      </w:tr>
      <w:tr>
        <w:tc>
          <w:tcPr/>
          <w:p>
            <w:pPr>
              <w:pStyle w:val="Compact"/>
            </w:pPr>
            <w:r>
              <w:t xml:space="preserve">DY vs RAG1-/-</w:t>
            </w:r>
          </w:p>
        </w:tc>
        <w:tc>
          <w:tcPr/>
          <w:p>
            <w:pPr>
              <w:pStyle w:val="Compact"/>
            </w:pPr>
            <w:r>
              <w:t xml:space="preserve">&lt;0.001***</w:t>
            </w:r>
          </w:p>
        </w:tc>
        <w:tc>
          <w:tcPr/>
          <w:p>
            <w:pPr>
              <w:pStyle w:val="Compact"/>
            </w:pPr>
            <w:r>
              <w:t xml:space="preserve">&lt;0.001***</w:t>
            </w:r>
          </w:p>
        </w:tc>
        <w:tc>
          <w:tcPr/>
          <w:p>
            <w:pPr>
              <w:pStyle w:val="Compact"/>
            </w:pPr>
            <w:r>
              <w:t xml:space="preserve">0.971 ns</w:t>
            </w:r>
          </w:p>
        </w:tc>
      </w:tr>
      <w:tr>
        <w:tc>
          <w:tcPr/>
          <w:p>
            <w:pPr>
              <w:pStyle w:val="Compact"/>
            </w:pPr>
            <w:r>
              <w:t xml:space="preserve">Y vs O</w:t>
            </w:r>
          </w:p>
        </w:tc>
        <w:tc>
          <w:tcPr/>
          <w:p>
            <w:pPr>
              <w:pStyle w:val="Compact"/>
            </w:pPr>
            <w:r>
              <w:t xml:space="preserve">0.478 ns</w:t>
            </w:r>
          </w:p>
        </w:tc>
        <w:tc>
          <w:tcPr/>
          <w:p>
            <w:pPr>
              <w:pStyle w:val="Compact"/>
            </w:pPr>
            <w:r>
              <w:t xml:space="preserve">0.401 ns</w:t>
            </w:r>
          </w:p>
        </w:tc>
        <w:tc>
          <w:tcPr/>
          <w:p>
            <w:pPr>
              <w:pStyle w:val="Compact"/>
            </w:pPr>
            <w:r>
              <w:t xml:space="preserve">0.562 ns</w:t>
            </w:r>
          </w:p>
        </w:tc>
      </w:tr>
      <w:tr>
        <w:tc>
          <w:tcPr/>
          <w:p>
            <w:pPr>
              <w:pStyle w:val="Compact"/>
            </w:pPr>
            <w:r>
              <w:t xml:space="preserve">DY vs DO</w:t>
            </w:r>
          </w:p>
        </w:tc>
        <w:tc>
          <w:tcPr/>
          <w:p>
            <w:pPr>
              <w:pStyle w:val="Compact"/>
            </w:pPr>
            <w:r>
              <w:t xml:space="preserve">0.305 ns</w:t>
            </w:r>
          </w:p>
        </w:tc>
        <w:tc>
          <w:tcPr/>
          <w:p>
            <w:pPr>
              <w:pStyle w:val="Compact"/>
            </w:pPr>
            <w:r>
              <w:t xml:space="preserve">0.539 ns</w:t>
            </w:r>
          </w:p>
        </w:tc>
        <w:tc>
          <w:tcPr/>
          <w:p>
            <w:pPr>
              <w:pStyle w:val="Compact"/>
            </w:pPr>
            <w:r>
              <w:t xml:space="preserve">0.281 ns</w:t>
            </w:r>
          </w:p>
        </w:tc>
      </w:tr>
    </w:tbl>
    <w:p>
      <w:pPr>
        <w:pStyle w:val="BodyText"/>
      </w:pPr>
      <w:r>
        <w:rPr>
          <w:b/>
          <w:bCs/>
        </w:rPr>
        <w:t xml:space="preserve">Key Finding:</w:t>
      </w:r>
      <w:r>
        <w:t xml:space="preserve"> </w:t>
      </w:r>
      <w:r>
        <w:t xml:space="preserve">Transplanted groups (DY, DO) show significantly lower diversity compared to untransplanted Y controls. Y vs O and DY vs DO differences are not significant (underpowered; see Section 5).</w:t>
      </w:r>
    </w:p>
    <w:bookmarkEnd w:id="13"/>
    <w:bookmarkStart w:id="14" w:name="rarefaction-curves"/>
    <w:p>
      <w:pPr>
        <w:pStyle w:val="Heading4"/>
      </w:pPr>
      <w:r>
        <w:t xml:space="preserve">Rarefaction Curves</w:t>
      </w:r>
    </w:p>
    <w:p>
      <w:pPr>
        <w:pStyle w:val="FirstParagraph"/>
      </w:pPr>
      <w:r>
        <w:t xml:space="preserve">Rarefaction curves plateau before 750,000 reads for all samples, confirming adequate sequencing depth.</w:t>
      </w:r>
    </w:p>
    <w:bookmarkEnd w:id="14"/>
    <w:bookmarkEnd w:id="15"/>
    <w:bookmarkStart w:id="16" w:name="comparison-specific-figures"/>
    <w:p>
      <w:pPr>
        <w:pStyle w:val="Heading3"/>
      </w:pPr>
      <w:r>
        <w:t xml:space="preserve">Comparison-Specific Figures</w:t>
      </w:r>
    </w:p>
    <w:p>
      <w:pPr>
        <w:pStyle w:val="FirstParagraph"/>
      </w:pPr>
      <w:r>
        <w:t xml:space="preserve">Three publication-ready figure panels were generated with significance brackets:</w:t>
      </w:r>
    </w:p>
    <w:p>
      <w:pPr>
        <w:pStyle w:val="Compact"/>
        <w:numPr>
          <w:ilvl w:val="0"/>
          <w:numId w:val="1002"/>
        </w:numPr>
      </w:pPr>
      <w:r>
        <w:rPr>
          <w:b/>
          <w:bCs/>
        </w:rPr>
        <w:t xml:space="preserve">Comparison A: Y vs DY vs RAG1-/-</w:t>
      </w:r>
      <w:r>
        <w:t xml:space="preserve"> </w:t>
      </w:r>
      <w:r>
        <w:t xml:space="preserve">— Colors: Y = #A4DCFE, DY = #FECC66, RAG1-/- = #A5333A</w:t>
      </w:r>
    </w:p>
    <w:p>
      <w:pPr>
        <w:pStyle w:val="Compact"/>
        <w:numPr>
          <w:ilvl w:val="0"/>
          <w:numId w:val="1002"/>
        </w:numPr>
      </w:pPr>
      <w:r>
        <w:rPr>
          <w:b/>
          <w:bCs/>
        </w:rPr>
        <w:t xml:space="preserve">Comparison B: Y vs O</w:t>
      </w:r>
      <w:r>
        <w:t xml:space="preserve"> </w:t>
      </w:r>
      <w:r>
        <w:t xml:space="preserve">— Colors: Y = #A4DCFE, O = #074080</w:t>
      </w:r>
    </w:p>
    <w:p>
      <w:pPr>
        <w:pStyle w:val="Compact"/>
        <w:numPr>
          <w:ilvl w:val="0"/>
          <w:numId w:val="1002"/>
        </w:numPr>
      </w:pPr>
      <w:r>
        <w:rPr>
          <w:b/>
          <w:bCs/>
        </w:rPr>
        <w:t xml:space="preserve">Comparison C: DY vs DO</w:t>
      </w:r>
      <w:r>
        <w:t xml:space="preserve"> </w:t>
      </w:r>
      <w:r>
        <w:t xml:space="preserve">— Colors: DY = #FECC66, DO = #FD8008</w:t>
      </w:r>
    </w:p>
    <w:bookmarkEnd w:id="16"/>
    <w:bookmarkStart w:id="17" w:name="output-files"/>
    <w:p>
      <w:pPr>
        <w:pStyle w:val="Heading3"/>
      </w:pPr>
      <w:r>
        <w:t xml:space="preserve">Output Files</w:t>
      </w:r>
    </w:p>
    <w:p>
      <w:pPr>
        <w:pStyle w:val="Compact"/>
        <w:numPr>
          <w:ilvl w:val="0"/>
          <w:numId w:val="1003"/>
        </w:numPr>
      </w:pPr>
      <w:r>
        <w:rPr>
          <w:rStyle w:val="VerbatimChar"/>
        </w:rPr>
        <w:t xml:space="preserve">Alpha_Diversity_Y_DY_RAG1.tif</w:t>
      </w:r>
      <w:r>
        <w:t xml:space="preserve"> </w:t>
      </w:r>
      <w:r>
        <w:t xml:space="preserve">/</w:t>
      </w:r>
      <w:r>
        <w:t xml:space="preserve"> </w:t>
      </w:r>
      <w:r>
        <w:rPr>
          <w:rStyle w:val="VerbatimChar"/>
        </w:rPr>
        <w:t xml:space="preserve">.pdf</w:t>
      </w:r>
      <w:r>
        <w:t xml:space="preserve"> </w:t>
      </w:r>
      <w:r>
        <w:t xml:space="preserve">— 3-panel (Shannon, Simpson, Chao1)</w:t>
      </w:r>
    </w:p>
    <w:p>
      <w:pPr>
        <w:pStyle w:val="Compact"/>
        <w:numPr>
          <w:ilvl w:val="0"/>
          <w:numId w:val="1003"/>
        </w:numPr>
      </w:pPr>
      <w:r>
        <w:rPr>
          <w:rStyle w:val="VerbatimChar"/>
        </w:rPr>
        <w:t xml:space="preserve">Alpha_Diversity_Y_vs_O.tif</w:t>
      </w:r>
      <w:r>
        <w:t xml:space="preserve"> </w:t>
      </w:r>
      <w:r>
        <w:t xml:space="preserve">/</w:t>
      </w:r>
      <w:r>
        <w:t xml:space="preserve"> </w:t>
      </w:r>
      <w:r>
        <w:rPr>
          <w:rStyle w:val="VerbatimChar"/>
        </w:rPr>
        <w:t xml:space="preserve">.pdf</w:t>
      </w:r>
    </w:p>
    <w:p>
      <w:pPr>
        <w:pStyle w:val="Compact"/>
        <w:numPr>
          <w:ilvl w:val="0"/>
          <w:numId w:val="1003"/>
        </w:numPr>
      </w:pPr>
      <w:r>
        <w:rPr>
          <w:rStyle w:val="VerbatimChar"/>
        </w:rPr>
        <w:t xml:space="preserve">Alpha_Diversity_DY_vs_DO.tif</w:t>
      </w:r>
      <w:r>
        <w:t xml:space="preserve"> </w:t>
      </w:r>
      <w:r>
        <w:t xml:space="preserve">/</w:t>
      </w:r>
      <w:r>
        <w:t xml:space="preserve"> </w:t>
      </w:r>
      <w:r>
        <w:rPr>
          <w:rStyle w:val="VerbatimChar"/>
        </w:rPr>
        <w:t xml:space="preserve">.pdf</w:t>
      </w:r>
    </w:p>
    <w:p>
      <w:pPr>
        <w:pStyle w:val="Compact"/>
        <w:numPr>
          <w:ilvl w:val="0"/>
          <w:numId w:val="1003"/>
        </w:numPr>
      </w:pPr>
      <w:r>
        <w:t xml:space="preserve">Individual metric plots:</w:t>
      </w:r>
      <w:r>
        <w:t xml:space="preserve"> </w:t>
      </w:r>
      <w:r>
        <w:rPr>
          <w:rStyle w:val="VerbatimChar"/>
        </w:rPr>
        <w:t xml:space="preserve">Alpha_Shannon_*.tif</w:t>
      </w:r>
      <w:r>
        <w:t xml:space="preserve">,</w:t>
      </w:r>
      <w:r>
        <w:t xml:space="preserve"> </w:t>
      </w:r>
      <w:r>
        <w:rPr>
          <w:rStyle w:val="VerbatimChar"/>
        </w:rPr>
        <w:t xml:space="preserve">Alpha_Simpson_*.tif</w:t>
      </w:r>
      <w:r>
        <w:t xml:space="preserve">,</w:t>
      </w:r>
      <w:r>
        <w:t xml:space="preserve"> </w:t>
      </w:r>
      <w:r>
        <w:rPr>
          <w:rStyle w:val="VerbatimChar"/>
        </w:rPr>
        <w:t xml:space="preserve">Alpha_S.chao1_*.tif</w:t>
      </w:r>
    </w:p>
    <w:p>
      <w:pPr>
        <w:pStyle w:val="Compact"/>
        <w:numPr>
          <w:ilvl w:val="0"/>
          <w:numId w:val="1003"/>
        </w:numPr>
      </w:pPr>
      <w:r>
        <w:rPr>
          <w:rStyle w:val="VerbatimChar"/>
        </w:rPr>
        <w:t xml:space="preserve">Rarefaction_Curves.tif</w:t>
      </w:r>
      <w:r>
        <w:t xml:space="preserve"> </w:t>
      </w:r>
      <w:r>
        <w:t xml:space="preserve">/</w:t>
      </w:r>
      <w:r>
        <w:t xml:space="preserve"> </w:t>
      </w:r>
      <w:r>
        <w:rPr>
          <w:rStyle w:val="VerbatimChar"/>
        </w:rPr>
        <w:t xml:space="preserve">.pdf</w:t>
      </w:r>
      <w:r>
        <w:t xml:space="preserve"> </w:t>
      </w:r>
      <w:r>
        <w:t xml:space="preserve">(300 DPI, LZW compression)</w:t>
      </w:r>
    </w:p>
    <w:p>
      <w:pPr>
        <w:pStyle w:val="Compact"/>
        <w:numPr>
          <w:ilvl w:val="0"/>
          <w:numId w:val="1003"/>
        </w:numPr>
      </w:pPr>
      <w:r>
        <w:rPr>
          <w:rStyle w:val="VerbatimChar"/>
        </w:rPr>
        <w:t xml:space="preserve">Alpha_Diversity_Statistics.csv</w:t>
      </w:r>
    </w:p>
    <w:p>
      <w:pPr>
        <w:pStyle w:val="Compact"/>
        <w:numPr>
          <w:ilvl w:val="0"/>
          <w:numId w:val="1003"/>
        </w:numPr>
      </w:pPr>
      <w:r>
        <w:rPr>
          <w:rStyle w:val="VerbatimChar"/>
        </w:rPr>
        <w:t xml:space="preserve">Reviewer_Chao1_Diversity.pdf</w:t>
      </w:r>
      <w:r>
        <w:t xml:space="preserve">,</w:t>
      </w:r>
      <w:r>
        <w:t xml:space="preserve"> </w:t>
      </w:r>
      <w:r>
        <w:rPr>
          <w:rStyle w:val="VerbatimChar"/>
        </w:rPr>
        <w:t xml:space="preserve">Reviewer_AlphaDiversity_Panel.pdf</w:t>
      </w:r>
      <w:r>
        <w:t xml:space="preserve"> </w:t>
      </w:r>
      <w:r>
        <w:t xml:space="preserve">(original Dec 2025 versions)</w:t>
      </w:r>
    </w:p>
    <w:p>
      <w:r>
        <w:pict>
          <v:rect style="width:0;height:1.5pt" o:hralign="center" o:hrstd="t" o:hr="t"/>
        </w:pict>
      </w:r>
    </w:p>
    <w:bookmarkEnd w:id="17"/>
    <w:bookmarkEnd w:id="18"/>
    <w:bookmarkStart w:id="23" w:name="pathway-differential-abundance-analysis"/>
    <w:p>
      <w:pPr>
        <w:pStyle w:val="Heading2"/>
      </w:pPr>
      <w:r>
        <w:t xml:space="preserve">2. Pathway Differential Abundance Analysis</w:t>
      </w:r>
    </w:p>
    <w:bookmarkStart w:id="19" w:name="reviewer-comment-1"/>
    <w:p>
      <w:pPr>
        <w:pStyle w:val="Heading3"/>
      </w:pPr>
      <w:r>
        <w:t xml:space="preserve">Reviewer Comment</w:t>
      </w:r>
    </w:p>
    <w:p>
      <w:pPr>
        <w:pStyle w:val="BlockText"/>
      </w:pPr>
      <w:r>
        <w:t xml:space="preserve">“Pathway enrichment lacks multiple-testing correction. Reanalyze with DESeq2 or ALDEx2 and include FDR-adjusted p-values (q-values).”</w:t>
      </w:r>
    </w:p>
    <w:bookmarkEnd w:id="19"/>
    <w:bookmarkStart w:id="20" w:name="analysis-performed-1"/>
    <w:p>
      <w:pPr>
        <w:pStyle w:val="Heading3"/>
      </w:pPr>
      <w:r>
        <w:t xml:space="preserve">Analysis Performed</w:t>
      </w:r>
    </w:p>
    <w:p>
      <w:pPr>
        <w:pStyle w:val="FirstParagraph"/>
      </w:pPr>
      <w:r>
        <w:t xml:space="preserve">Differential pathway abundance was assessed using four complementary approaches, all with batch correction where applicable:</w:t>
      </w:r>
    </w:p>
    <w:p>
      <w:pPr>
        <w:pStyle w:val="Compact"/>
        <w:numPr>
          <w:ilvl w:val="0"/>
          <w:numId w:val="1004"/>
        </w:numPr>
      </w:pPr>
      <w:r>
        <w:rPr>
          <w:b/>
          <w:bCs/>
        </w:rPr>
        <w:t xml:space="preserve">ALDEx2</w:t>
      </w:r>
      <w:r>
        <w:t xml:space="preserve"> </w:t>
      </w:r>
      <w:r>
        <w:t xml:space="preserve">(v1.40.0): CLR transformation, 128 Monte Carlo instances, BH FDR. Batch-corrected via</w:t>
      </w:r>
      <w:r>
        <w:t xml:space="preserve"> </w:t>
      </w:r>
      <w:r>
        <w:rPr>
          <w:rStyle w:val="VerbatimChar"/>
        </w:rPr>
        <w:t xml:space="preserve">aldex.glm()</w:t>
      </w:r>
      <w:r>
        <w:t xml:space="preserve"> </w:t>
      </w:r>
      <w:r>
        <w:t xml:space="preserve">with model matrix</w:t>
      </w:r>
      <w:r>
        <w:t xml:space="preserve"> </w:t>
      </w:r>
      <w:r>
        <w:rPr>
          <w:rStyle w:val="VerbatimChar"/>
        </w:rPr>
        <w:t xml:space="preserve">~ Experiment + Groups</w:t>
      </w:r>
      <w:r>
        <w:t xml:space="preserve">.</w:t>
      </w:r>
    </w:p>
    <w:p>
      <w:pPr>
        <w:pStyle w:val="Compact"/>
        <w:numPr>
          <w:ilvl w:val="0"/>
          <w:numId w:val="1004"/>
        </w:numPr>
      </w:pPr>
      <w:r>
        <w:rPr>
          <w:b/>
          <w:bCs/>
        </w:rPr>
        <w:t xml:space="preserve">DESeq2</w:t>
      </w:r>
      <w:r>
        <w:t xml:space="preserve"> </w:t>
      </w:r>
      <w:r>
        <w:t xml:space="preserve">(v1.48.2): Negative binomial modeling, BH FDR. Batch-corrected via design</w:t>
      </w:r>
      <w:r>
        <w:t xml:space="preserve"> </w:t>
      </w:r>
      <w:r>
        <w:rPr>
          <w:rStyle w:val="VerbatimChar"/>
        </w:rPr>
        <w:t xml:space="preserve">~ Experiment + Groups</w:t>
      </w:r>
      <w:r>
        <w:t xml:space="preserve">.</w:t>
      </w:r>
    </w:p>
    <w:p>
      <w:pPr>
        <w:pStyle w:val="Compact"/>
        <w:numPr>
          <w:ilvl w:val="0"/>
          <w:numId w:val="1004"/>
        </w:numPr>
      </w:pPr>
      <w:r>
        <w:rPr>
          <w:b/>
          <w:bCs/>
        </w:rPr>
        <w:t xml:space="preserve">MaAsLin2</w:t>
      </w:r>
      <w:r>
        <w:t xml:space="preserve"> </w:t>
      </w:r>
      <w:r>
        <w:t xml:space="preserve">(v1.18.0): Linear model on log-transformed CPM, BH FDR. Batch-corrected with Experiment as fixed-effect covariate.</w:t>
      </w:r>
    </w:p>
    <w:p>
      <w:pPr>
        <w:pStyle w:val="Compact"/>
        <w:numPr>
          <w:ilvl w:val="0"/>
          <w:numId w:val="1004"/>
        </w:numPr>
      </w:pPr>
      <w:r>
        <w:rPr>
          <w:b/>
          <w:bCs/>
        </w:rPr>
        <w:t xml:space="preserve">Wilcoxon rank-sum test</w:t>
      </w:r>
      <w:r>
        <w:t xml:space="preserve">: Non-parametric, from original analysis (no batch correction).</w:t>
      </w:r>
    </w:p>
    <w:bookmarkEnd w:id="20"/>
    <w:bookmarkStart w:id="21" w:name="genome-wide-results-dy-vs-do"/>
    <w:p>
      <w:pPr>
        <w:pStyle w:val="Heading3"/>
      </w:pPr>
      <w:r>
        <w:t xml:space="preserve">Genome-Wide Results (DY vs 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Total Pathways</w:t>
            </w:r>
          </w:p>
        </w:tc>
        <w:tc>
          <w:tcPr/>
          <w:p>
            <w:pPr>
              <w:pStyle w:val="Compact"/>
            </w:pPr>
            <w:r>
              <w:t xml:space="preserve">Sig (FDR &lt; 0.1)</w:t>
            </w:r>
          </w:p>
        </w:tc>
        <w:tc>
          <w:tcPr/>
          <w:p>
            <w:pPr>
              <w:pStyle w:val="Compact"/>
            </w:pPr>
            <w:r>
              <w:t xml:space="preserve">Nominally Sig (p &lt; 0.05)</w:t>
            </w:r>
          </w:p>
        </w:tc>
      </w:tr>
      <w:tr>
        <w:tc>
          <w:tcPr/>
          <w:p>
            <w:pPr>
              <w:pStyle w:val="Compact"/>
            </w:pPr>
            <w:r>
              <w:t xml:space="preserve">ALDEx2 (no batch)</w:t>
            </w:r>
          </w:p>
        </w:tc>
        <w:tc>
          <w:tcPr/>
          <w:p>
            <w:pPr>
              <w:pStyle w:val="Compact"/>
            </w:pPr>
            <w:r>
              <w:t xml:space="preserve">369</w:t>
            </w:r>
          </w:p>
        </w:tc>
        <w:tc>
          <w:tcPr/>
          <w:p>
            <w:pPr>
              <w:pStyle w:val="Compact"/>
            </w:pPr>
            <w:r>
              <w:t xml:space="preserve">0</w:t>
            </w:r>
          </w:p>
        </w:tc>
        <w:tc>
          <w:tcPr/>
          <w:p>
            <w:pPr>
              <w:pStyle w:val="Compact"/>
            </w:pPr>
            <w:r>
              <w:t xml:space="preserve">—</w:t>
            </w:r>
          </w:p>
        </w:tc>
      </w:tr>
      <w:tr>
        <w:tc>
          <w:tcPr/>
          <w:p>
            <w:pPr>
              <w:pStyle w:val="Compact"/>
            </w:pPr>
            <w:r>
              <w:t xml:space="preserve">ALDEx2 GLM (batch-corrected)</w:t>
            </w:r>
          </w:p>
        </w:tc>
        <w:tc>
          <w:tcPr/>
          <w:p>
            <w:pPr>
              <w:pStyle w:val="Compact"/>
            </w:pPr>
            <w:r>
              <w:t xml:space="preserve">369</w:t>
            </w:r>
          </w:p>
        </w:tc>
        <w:tc>
          <w:tcPr/>
          <w:p>
            <w:pPr>
              <w:pStyle w:val="Compact"/>
            </w:pPr>
            <w:r>
              <w:t xml:space="preserve">—</w:t>
            </w:r>
          </w:p>
        </w:tc>
        <w:tc>
          <w:tcPr/>
          <w:p>
            <w:pPr>
              <w:pStyle w:val="Compact"/>
            </w:pPr>
            <w:r>
              <w:t xml:space="preserve">—</w:t>
            </w:r>
          </w:p>
        </w:tc>
      </w:tr>
      <w:tr>
        <w:tc>
          <w:tcPr/>
          <w:p>
            <w:pPr>
              <w:pStyle w:val="Compact"/>
            </w:pPr>
            <w:r>
              <w:t xml:space="preserve">DESeq2 (no batch)</w:t>
            </w:r>
          </w:p>
        </w:tc>
        <w:tc>
          <w:tcPr/>
          <w:p>
            <w:pPr>
              <w:pStyle w:val="Compact"/>
            </w:pPr>
            <w:r>
              <w:t xml:space="preserve">328</w:t>
            </w:r>
          </w:p>
        </w:tc>
        <w:tc>
          <w:tcPr/>
          <w:p>
            <w:pPr>
              <w:pStyle w:val="Compact"/>
            </w:pPr>
            <w:r>
              <w:t xml:space="preserve">11</w:t>
            </w:r>
          </w:p>
        </w:tc>
        <w:tc>
          <w:tcPr/>
          <w:p>
            <w:pPr>
              <w:pStyle w:val="Compact"/>
            </w:pPr>
            <w:r>
              <w:t xml:space="preserve">14</w:t>
            </w:r>
          </w:p>
        </w:tc>
      </w:tr>
      <w:tr>
        <w:tc>
          <w:tcPr/>
          <w:p>
            <w:pPr>
              <w:pStyle w:val="Compact"/>
            </w:pPr>
            <w:r>
              <w:t xml:space="preserve">DESeq2 (batch-corrected)</w:t>
            </w:r>
          </w:p>
        </w:tc>
        <w:tc>
          <w:tcPr/>
          <w:p>
            <w:pPr>
              <w:pStyle w:val="Compact"/>
            </w:pPr>
            <w:r>
              <w:t xml:space="preserve">328</w:t>
            </w:r>
          </w:p>
        </w:tc>
        <w:tc>
          <w:tcPr/>
          <w:p>
            <w:pPr>
              <w:pStyle w:val="Compact"/>
            </w:pPr>
            <w:r>
              <w:t xml:space="preserve">12</w:t>
            </w:r>
          </w:p>
        </w:tc>
        <w:tc>
          <w:tcPr/>
          <w:p>
            <w:pPr>
              <w:pStyle w:val="Compact"/>
            </w:pPr>
            <w:r>
              <w:t xml:space="preserve">19</w:t>
            </w:r>
          </w:p>
        </w:tc>
      </w:tr>
      <w:tr>
        <w:tc>
          <w:tcPr/>
          <w:p>
            <w:pPr>
              <w:pStyle w:val="Compact"/>
            </w:pPr>
            <w:r>
              <w:t xml:space="preserve">MaAsLin2 (no batch)</w:t>
            </w:r>
          </w:p>
        </w:tc>
        <w:tc>
          <w:tcPr/>
          <w:p>
            <w:pPr>
              <w:pStyle w:val="Compact"/>
            </w:pPr>
            <w:r>
              <w:t xml:space="preserve">310</w:t>
            </w:r>
          </w:p>
        </w:tc>
        <w:tc>
          <w:tcPr/>
          <w:p>
            <w:pPr>
              <w:pStyle w:val="Compact"/>
            </w:pPr>
            <w:r>
              <w:t xml:space="preserve">0</w:t>
            </w:r>
          </w:p>
        </w:tc>
        <w:tc>
          <w:tcPr/>
          <w:p>
            <w:pPr>
              <w:pStyle w:val="Compact"/>
            </w:pPr>
            <w:r>
              <w:t xml:space="preserve">—</w:t>
            </w:r>
          </w:p>
        </w:tc>
      </w:tr>
      <w:tr>
        <w:tc>
          <w:tcPr/>
          <w:p>
            <w:pPr>
              <w:pStyle w:val="Compact"/>
            </w:pPr>
            <w:r>
              <w:t xml:space="preserve">MaAsLin2 (batch-corrected)</w:t>
            </w:r>
          </w:p>
        </w:tc>
        <w:tc>
          <w:tcPr/>
          <w:p>
            <w:pPr>
              <w:pStyle w:val="Compact"/>
            </w:pPr>
            <w:r>
              <w:t xml:space="preserve">310</w:t>
            </w:r>
          </w:p>
        </w:tc>
        <w:tc>
          <w:tcPr/>
          <w:p>
            <w:pPr>
              <w:pStyle w:val="Compact"/>
            </w:pPr>
            <w:r>
              <w:t xml:space="preserve">—</w:t>
            </w:r>
          </w:p>
        </w:tc>
        <w:tc>
          <w:tcPr/>
          <w:p>
            <w:pPr>
              <w:pStyle w:val="Compact"/>
            </w:pPr>
            <w:r>
              <w:t xml:space="preserve">—</w:t>
            </w:r>
          </w:p>
        </w:tc>
      </w:tr>
    </w:tbl>
    <w:p>
      <w:pPr>
        <w:pStyle w:val="BodyText"/>
      </w:pPr>
      <w:r>
        <w:rPr>
          <w:b/>
          <w:bCs/>
        </w:rPr>
        <w:t xml:space="preserve">Interpretation:</w:t>
      </w:r>
      <w:r>
        <w:t xml:space="preserve"> </w:t>
      </w:r>
      <w:r>
        <w:t xml:space="preserve">No method finds genome-wide FDR-significant B6 pathways in an untargeted analysis of DY vs DO. However, targeted B6 analysis (Section 3) reveals a robust signal. Batch-corrected DESeq2 identifies 12 pathways at FDR &lt; 0.1.</w:t>
      </w:r>
    </w:p>
    <w:bookmarkEnd w:id="21"/>
    <w:bookmarkStart w:id="22" w:name="output-files-1"/>
    <w:p>
      <w:pPr>
        <w:pStyle w:val="Heading3"/>
      </w:pPr>
      <w:r>
        <w:t xml:space="preserve">Output Files</w:t>
      </w:r>
    </w:p>
    <w:p>
      <w:pPr>
        <w:pStyle w:val="Compact"/>
        <w:numPr>
          <w:ilvl w:val="0"/>
          <w:numId w:val="1005"/>
        </w:numPr>
      </w:pPr>
      <w:r>
        <w:rPr>
          <w:rStyle w:val="VerbatimChar"/>
        </w:rPr>
        <w:t xml:space="preserve">ALDEx2_Pathways_DY_vs_DO_Full.csv</w:t>
      </w:r>
      <w:r>
        <w:t xml:space="preserve">,</w:t>
      </w:r>
      <w:r>
        <w:t xml:space="preserve"> </w:t>
      </w:r>
      <w:r>
        <w:rPr>
          <w:rStyle w:val="VerbatimChar"/>
        </w:rPr>
        <w:t xml:space="preserve">ALDEx2_Pathways_DY_vs_DO_BatchCorrected_Full.csv</w:t>
      </w:r>
    </w:p>
    <w:p>
      <w:pPr>
        <w:pStyle w:val="Compact"/>
        <w:numPr>
          <w:ilvl w:val="0"/>
          <w:numId w:val="1005"/>
        </w:numPr>
      </w:pPr>
      <w:r>
        <w:rPr>
          <w:rStyle w:val="VerbatimChar"/>
        </w:rPr>
        <w:t xml:space="preserve">DESeq2_Pathways_DY_vs_DO_Full.csv</w:t>
      </w:r>
      <w:r>
        <w:t xml:space="preserve">,</w:t>
      </w:r>
      <w:r>
        <w:t xml:space="preserve"> </w:t>
      </w:r>
      <w:r>
        <w:rPr>
          <w:rStyle w:val="VerbatimChar"/>
        </w:rPr>
        <w:t xml:space="preserve">DESeq2_Pathways_DY_vs_DO_BatchCorrected_Full.csv</w:t>
      </w:r>
    </w:p>
    <w:p>
      <w:pPr>
        <w:pStyle w:val="Compact"/>
        <w:numPr>
          <w:ilvl w:val="0"/>
          <w:numId w:val="1005"/>
        </w:numPr>
      </w:pPr>
      <w:r>
        <w:rPr>
          <w:rStyle w:val="VerbatimChar"/>
        </w:rPr>
        <w:t xml:space="preserve">MaAsLin2_Pathways_DY_vs_DO_Full.csv</w:t>
      </w:r>
      <w:r>
        <w:t xml:space="preserve">,</w:t>
      </w:r>
      <w:r>
        <w:t xml:space="preserve"> </w:t>
      </w:r>
      <w:r>
        <w:rPr>
          <w:rStyle w:val="VerbatimChar"/>
        </w:rPr>
        <w:t xml:space="preserve">MaAsLin2_Pathways_DY_vs_DO_BatchCorrected_Full.csv</w:t>
      </w:r>
    </w:p>
    <w:p>
      <w:pPr>
        <w:pStyle w:val="Compact"/>
        <w:numPr>
          <w:ilvl w:val="0"/>
          <w:numId w:val="1005"/>
        </w:numPr>
      </w:pPr>
      <w:r>
        <w:rPr>
          <w:rStyle w:val="VerbatimChar"/>
        </w:rPr>
        <w:t xml:space="preserve">ALDEx2_Pathways_DY_vs_DO_Volcano.pdf</w:t>
      </w:r>
      <w:r>
        <w:t xml:space="preserve">,</w:t>
      </w:r>
      <w:r>
        <w:t xml:space="preserve"> </w:t>
      </w:r>
      <w:r>
        <w:rPr>
          <w:rStyle w:val="VerbatimChar"/>
        </w:rPr>
        <w:t xml:space="preserve">ALDEx2_Pathways_DY_vs_DO_Effect_Plot.pdf</w:t>
      </w:r>
    </w:p>
    <w:p>
      <w:pPr>
        <w:pStyle w:val="Compact"/>
        <w:numPr>
          <w:ilvl w:val="0"/>
          <w:numId w:val="1005"/>
        </w:numPr>
      </w:pPr>
      <w:r>
        <w:rPr>
          <w:rStyle w:val="VerbatimChar"/>
        </w:rPr>
        <w:t xml:space="preserve">DESeq2_Pathways_DY_vs_DO_Volcano.pdf</w:t>
      </w:r>
      <w:r>
        <w:t xml:space="preserve">,</w:t>
      </w:r>
      <w:r>
        <w:t xml:space="preserve"> </w:t>
      </w:r>
      <w:r>
        <w:rPr>
          <w:rStyle w:val="VerbatimChar"/>
        </w:rPr>
        <w:t xml:space="preserve">DESeq2_Pathways_DY_vs_DO_MA_Plot.pdf</w:t>
      </w:r>
    </w:p>
    <w:p>
      <w:r>
        <w:pict>
          <v:rect style="width:0;height:1.5pt" o:hralign="center" o:hrstd="t" o:hr="t"/>
        </w:pict>
      </w:r>
    </w:p>
    <w:bookmarkEnd w:id="22"/>
    <w:bookmarkEnd w:id="23"/>
    <w:bookmarkStart w:id="31" w:name="targeted-vitamin-b6-pathway-analysis"/>
    <w:p>
      <w:pPr>
        <w:pStyle w:val="Heading2"/>
      </w:pPr>
      <w:r>
        <w:t xml:space="preserve">3. Targeted Vitamin B6 Pathway Analysis</w:t>
      </w:r>
    </w:p>
    <w:bookmarkStart w:id="24" w:name="rationale"/>
    <w:p>
      <w:pPr>
        <w:pStyle w:val="Heading3"/>
      </w:pPr>
      <w:r>
        <w:t xml:space="preserve">Rationale</w:t>
      </w:r>
    </w:p>
    <w:p>
      <w:pPr>
        <w:pStyle w:val="FirstParagraph"/>
      </w:pPr>
      <w:r>
        <w:t xml:space="preserve">Based on prior literature establishing links between vitamin B6 metabolism and:</w:t>
      </w:r>
      <w:r>
        <w:t xml:space="preserve"> </w:t>
      </w:r>
      <w:r>
        <w:t xml:space="preserve">- Immune function and inflammation (Ueland et al., 2017,</w:t>
      </w:r>
      <w:r>
        <w:t xml:space="preserve"> </w:t>
      </w:r>
      <w:r>
        <w:rPr>
          <w:i/>
          <w:iCs/>
        </w:rPr>
        <w:t xml:space="preserve">Nutrients</w:t>
      </w:r>
      <w:r>
        <w:t xml:space="preserve">)</w:t>
      </w:r>
      <w:r>
        <w:t xml:space="preserve"> </w:t>
      </w:r>
      <w:r>
        <w:t xml:space="preserve">- Hematopoietic stem cell metabolism (Taya et al., 2016)</w:t>
      </w:r>
      <w:r>
        <w:t xml:space="preserve"> </w:t>
      </w:r>
      <w:r>
        <w:t xml:space="preserve">- Age-associated decline (Janssen et al., 2021)</w:t>
      </w:r>
    </w:p>
    <w:p>
      <w:pPr>
        <w:pStyle w:val="BodyText"/>
      </w:pPr>
      <w:r>
        <w:t xml:space="preserve">We performed a targeted analysis of B6-related pathways as an</w:t>
      </w:r>
      <w:r>
        <w:t xml:space="preserve"> </w:t>
      </w:r>
      <w:r>
        <w:rPr>
          <w:b/>
          <w:bCs/>
        </w:rPr>
        <w:t xml:space="preserve">a priori hypothesis</w:t>
      </w:r>
      <w:r>
        <w:t xml:space="preserve">.</w:t>
      </w:r>
    </w:p>
    <w:bookmarkEnd w:id="24"/>
    <w:bookmarkStart w:id="25" w:name="results-y-vs-o-strongly-significant"/>
    <w:p>
      <w:pPr>
        <w:pStyle w:val="Heading3"/>
      </w:pPr>
      <w:r>
        <w:t xml:space="preserve">Results: Y vs O — Strongly Significant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PYRIDOXSYN-PWY p</w:t>
            </w:r>
          </w:p>
        </w:tc>
        <w:tc>
          <w:tcPr/>
          <w:p>
            <w:pPr>
              <w:pStyle w:val="Compact"/>
            </w:pPr>
            <w:r>
              <w:t xml:space="preserve">PWY0-845 p</w:t>
            </w:r>
          </w:p>
        </w:tc>
      </w:tr>
      <w:tr>
        <w:tc>
          <w:tcPr/>
          <w:p>
            <w:pPr>
              <w:pStyle w:val="Compact"/>
            </w:pPr>
            <w:r>
              <w:t xml:space="preserve">MaAsLin2</w:t>
            </w:r>
          </w:p>
        </w:tc>
        <w:tc>
          <w:tcPr/>
          <w:p>
            <w:pPr>
              <w:pStyle w:val="Compact"/>
            </w:pPr>
            <w:r>
              <w:rPr>
                <w:b/>
                <w:bCs/>
              </w:rPr>
              <w:t xml:space="preserve">0.0012</w:t>
            </w:r>
            <w:r>
              <w:t xml:space="preserve"> </w:t>
            </w:r>
            <w:r>
              <w:t xml:space="preserve">(q=0.049)</w:t>
            </w:r>
          </w:p>
        </w:tc>
        <w:tc>
          <w:tcPr/>
          <w:p>
            <w:pPr>
              <w:pStyle w:val="Compact"/>
            </w:pPr>
            <w:r>
              <w:rPr>
                <w:b/>
                <w:bCs/>
              </w:rPr>
              <w:t xml:space="preserve">0.00018</w:t>
            </w:r>
            <w:r>
              <w:t xml:space="preserve"> </w:t>
            </w:r>
            <w:r>
              <w:t xml:space="preserve">(q=0.021)</w:t>
            </w:r>
          </w:p>
        </w:tc>
      </w:tr>
      <w:tr>
        <w:tc>
          <w:tcPr/>
          <w:p>
            <w:pPr>
              <w:pStyle w:val="Compact"/>
            </w:pPr>
            <w:r>
              <w:t xml:space="preserve">DESeq2 (targeted FDR)</w:t>
            </w:r>
          </w:p>
        </w:tc>
        <w:tc>
          <w:tcPr/>
          <w:p>
            <w:pPr>
              <w:pStyle w:val="Compact"/>
            </w:pPr>
            <w:r>
              <w:t xml:space="preserve">0.026</w:t>
            </w:r>
          </w:p>
        </w:tc>
        <w:tc>
          <w:tcPr/>
          <w:p>
            <w:pPr>
              <w:pStyle w:val="Compact"/>
            </w:pPr>
            <w:r>
              <w:rPr>
                <w:b/>
                <w:bCs/>
              </w:rPr>
              <w:t xml:space="preserve">0.0011</w:t>
            </w:r>
            <w:r>
              <w:t xml:space="preserve"> </w:t>
            </w:r>
            <w:r>
              <w:t xml:space="preserve">(FDR=0.002)</w:t>
            </w:r>
          </w:p>
        </w:tc>
      </w:tr>
      <w:tr>
        <w:tc>
          <w:tcPr/>
          <w:p>
            <w:pPr>
              <w:pStyle w:val="Compact"/>
            </w:pPr>
            <w:r>
              <w:t xml:space="preserve">ALDEx2 Welch</w:t>
            </w:r>
          </w:p>
        </w:tc>
        <w:tc>
          <w:tcPr/>
          <w:p>
            <w:pPr>
              <w:pStyle w:val="Compact"/>
            </w:pPr>
            <w:r>
              <w:rPr>
                <w:b/>
                <w:bCs/>
              </w:rPr>
              <w:t xml:space="preserve">0.002</w:t>
            </w:r>
          </w:p>
        </w:tc>
        <w:tc>
          <w:tcPr/>
          <w:p>
            <w:pPr>
              <w:pStyle w:val="Compact"/>
            </w:pPr>
            <w:r>
              <w:t xml:space="preserve">—</w:t>
            </w:r>
          </w:p>
        </w:tc>
      </w:tr>
      <w:tr>
        <w:tc>
          <w:tcPr/>
          <w:p>
            <w:pPr>
              <w:pStyle w:val="Compact"/>
            </w:pPr>
            <w:r>
              <w:t xml:space="preserve">Wilcoxon</w:t>
            </w:r>
          </w:p>
        </w:tc>
        <w:tc>
          <w:tcPr/>
          <w:p>
            <w:pPr>
              <w:pStyle w:val="Compact"/>
            </w:pPr>
            <w:r>
              <w:t xml:space="preserve">significant</w:t>
            </w:r>
          </w:p>
        </w:tc>
        <w:tc>
          <w:tcPr/>
          <w:p>
            <w:pPr>
              <w:pStyle w:val="Compact"/>
            </w:pPr>
            <w:r>
              <w:t xml:space="preserve">significant</w:t>
            </w:r>
          </w:p>
        </w:tc>
      </w:tr>
    </w:tbl>
    <w:p>
      <w:pPr>
        <w:pStyle w:val="BodyText"/>
      </w:pPr>
      <w:r>
        <w:rPr>
          <w:b/>
          <w:bCs/>
        </w:rPr>
        <w:t xml:space="preserve">Interpretation:</w:t>
      </w:r>
      <w:r>
        <w:t xml:space="preserve"> </w:t>
      </w:r>
      <w:r>
        <w:t xml:space="preserve">Young mice have approximately 6-fold higher vitamin B6 biosynthesis pathway abundance compared to old mice. This is robust across all methods.</w:t>
      </w:r>
    </w:p>
    <w:bookmarkEnd w:id="25"/>
    <w:bookmarkStart w:id="28" w:name="X9031818ae69b964057e98e144712171f792d849"/>
    <w:p>
      <w:pPr>
        <w:pStyle w:val="Heading3"/>
      </w:pPr>
      <w:r>
        <w:t xml:space="preserve">Results: DY vs DO — Significant After Batch Correction</w:t>
      </w:r>
    </w:p>
    <w:p>
      <w:pPr>
        <w:pStyle w:val="FirstParagraph"/>
      </w:pPr>
      <w:r>
        <w:t xml:space="preserve">This is the</w:t>
      </w:r>
      <w:r>
        <w:t xml:space="preserve"> </w:t>
      </w:r>
      <w:r>
        <w:rPr>
          <w:b/>
          <w:bCs/>
        </w:rPr>
        <w:t xml:space="preserve">key finding</w:t>
      </w:r>
      <w:r>
        <w:t xml:space="preserve"> </w:t>
      </w:r>
      <w:r>
        <w:t xml:space="preserve">of the February 2026 revision.</w:t>
      </w:r>
    </w:p>
    <w:bookmarkStart w:id="26" w:name="without-batch-correction"/>
    <w:p>
      <w:pPr>
        <w:pStyle w:val="Heading4"/>
      </w:pPr>
      <w:r>
        <w:t xml:space="preserve">Without Batch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PYRIDOXSYN-PWY p</w:t>
            </w:r>
          </w:p>
        </w:tc>
        <w:tc>
          <w:tcPr/>
          <w:p>
            <w:pPr>
              <w:pStyle w:val="Compact"/>
            </w:pPr>
            <w:r>
              <w:t xml:space="preserve">PWY0-845 p</w:t>
            </w:r>
          </w:p>
        </w:tc>
        <w:tc>
          <w:tcPr/>
          <w:p>
            <w:pPr>
              <w:pStyle w:val="Compact"/>
              <w:jc w:val="center"/>
            </w:pPr>
            <w:r>
              <w:t xml:space="preserve">Significant?</w:t>
            </w:r>
          </w:p>
        </w:tc>
      </w:tr>
      <w:tr>
        <w:tc>
          <w:tcPr/>
          <w:p>
            <w:pPr>
              <w:pStyle w:val="Compact"/>
            </w:pPr>
            <w:r>
              <w:t xml:space="preserve">Wilcoxon (original)</w:t>
            </w:r>
          </w:p>
        </w:tc>
        <w:tc>
          <w:tcPr/>
          <w:p>
            <w:pPr>
              <w:pStyle w:val="Compact"/>
            </w:pPr>
            <w:r>
              <w:rPr>
                <w:b/>
                <w:bCs/>
              </w:rPr>
              <w:t xml:space="preserve">0.024</w:t>
            </w:r>
          </w:p>
        </w:tc>
        <w:tc>
          <w:tcPr/>
          <w:p>
            <w:pPr>
              <w:pStyle w:val="Compact"/>
            </w:pPr>
            <w:r>
              <w:rPr>
                <w:b/>
                <w:bCs/>
              </w:rPr>
              <w:t xml:space="preserve">0.027</w:t>
            </w:r>
          </w:p>
        </w:tc>
        <w:tc>
          <w:tcPr/>
          <w:p>
            <w:pPr>
              <w:pStyle w:val="Compact"/>
              <w:jc w:val="center"/>
            </w:pPr>
            <w:r>
              <w:t xml:space="preserve">Yes</w:t>
            </w:r>
          </w:p>
        </w:tc>
      </w:tr>
      <w:tr>
        <w:tc>
          <w:tcPr/>
          <w:p>
            <w:pPr>
              <w:pStyle w:val="Compact"/>
            </w:pPr>
            <w:r>
              <w:t xml:space="preserve">ALDEx2 Welch</w:t>
            </w:r>
          </w:p>
        </w:tc>
        <w:tc>
          <w:tcPr/>
          <w:p>
            <w:pPr>
              <w:pStyle w:val="Compact"/>
            </w:pPr>
            <w:r>
              <w:rPr>
                <w:b/>
                <w:bCs/>
              </w:rPr>
              <w:t xml:space="preserve">0.0085</w:t>
            </w:r>
          </w:p>
        </w:tc>
        <w:tc>
          <w:tcPr/>
          <w:p>
            <w:pPr>
              <w:pStyle w:val="Compact"/>
            </w:pPr>
            <w:r>
              <w:rPr>
                <w:b/>
                <w:bCs/>
              </w:rPr>
              <w:t xml:space="preserve">0.0095</w:t>
            </w:r>
          </w:p>
        </w:tc>
        <w:tc>
          <w:tcPr/>
          <w:p>
            <w:pPr>
              <w:pStyle w:val="Compact"/>
              <w:jc w:val="center"/>
            </w:pPr>
            <w:r>
              <w:t xml:space="preserve">Yes</w:t>
            </w:r>
          </w:p>
        </w:tc>
      </w:tr>
      <w:tr>
        <w:tc>
          <w:tcPr/>
          <w:p>
            <w:pPr>
              <w:pStyle w:val="Compact"/>
            </w:pPr>
            <w:r>
              <w:t xml:space="preserve">DESeq2</w:t>
            </w:r>
          </w:p>
        </w:tc>
        <w:tc>
          <w:tcPr/>
          <w:p>
            <w:pPr>
              <w:pStyle w:val="Compact"/>
            </w:pPr>
            <w:r>
              <w:t xml:space="preserve">0.367</w:t>
            </w:r>
          </w:p>
        </w:tc>
        <w:tc>
          <w:tcPr/>
          <w:p>
            <w:pPr>
              <w:pStyle w:val="Compact"/>
            </w:pPr>
            <w:r>
              <w:t xml:space="preserve">0.512</w:t>
            </w:r>
          </w:p>
        </w:tc>
        <w:tc>
          <w:tcPr/>
          <w:p>
            <w:pPr>
              <w:pStyle w:val="Compact"/>
              <w:jc w:val="center"/>
            </w:pPr>
            <w:r>
              <w:t xml:space="preserve">No</w:t>
            </w:r>
          </w:p>
        </w:tc>
      </w:tr>
      <w:tr>
        <w:tc>
          <w:tcPr/>
          <w:p>
            <w:pPr>
              <w:pStyle w:val="Compact"/>
            </w:pPr>
            <w:r>
              <w:t xml:space="preserve">MaAsLin2</w:t>
            </w:r>
          </w:p>
        </w:tc>
        <w:tc>
          <w:tcPr/>
          <w:p>
            <w:pPr>
              <w:pStyle w:val="Compact"/>
            </w:pPr>
            <w:r>
              <w:t xml:space="preserve">0.099</w:t>
            </w:r>
          </w:p>
        </w:tc>
        <w:tc>
          <w:tcPr/>
          <w:p>
            <w:pPr>
              <w:pStyle w:val="Compact"/>
            </w:pPr>
            <w:r>
              <w:t xml:space="preserve">0.131</w:t>
            </w:r>
          </w:p>
        </w:tc>
        <w:tc>
          <w:tcPr/>
          <w:p>
            <w:pPr>
              <w:pStyle w:val="Compact"/>
              <w:jc w:val="center"/>
            </w:pPr>
            <w:r>
              <w:t xml:space="preserve">No</w:t>
            </w:r>
          </w:p>
        </w:tc>
      </w:tr>
    </w:tbl>
    <w:bookmarkEnd w:id="26"/>
    <w:bookmarkStart w:id="27" w:name="Xfebe1dc5f12539a535ba88f5d290e68faa7f9a2"/>
    <w:p>
      <w:pPr>
        <w:pStyle w:val="Heading4"/>
      </w:pPr>
      <w:r>
        <w:t xml:space="preserve">With Batch Correction (Experiment as covariate)</w:t>
      </w:r>
    </w:p>
    <w:tbl>
      <w:tblPr>
        <w:tblStyle w:val="Table"/>
        <w:tblW w:type="pct" w:w="5000"/>
        <w:tblLayout w:type="fixed"/>
        <w:tblLook w:firstRow="1" w:lastRow="0" w:firstColumn="0" w:lastColumn="0" w:noHBand="0" w:noVBand="0" w:val="0020"/>
      </w:tblPr>
      <w:tblGrid>
        <w:gridCol w:w="1473"/>
        <w:gridCol w:w="3315"/>
        <w:gridCol w:w="2210"/>
        <w:gridCol w:w="920"/>
      </w:tblGrid>
      <w:tr>
        <w:trPr>
          <w:tblHeader w:val="on"/>
        </w:trPr>
        <w:tc>
          <w:tcPr/>
          <w:p>
            <w:pPr>
              <w:pStyle w:val="Compact"/>
            </w:pPr>
            <w:r>
              <w:t xml:space="preserve">Method</w:t>
            </w:r>
          </w:p>
        </w:tc>
        <w:tc>
          <w:tcPr/>
          <w:p>
            <w:pPr>
              <w:pStyle w:val="Compact"/>
            </w:pPr>
            <w:r>
              <w:t xml:space="preserve">PYRIDOXSYN-PWY p</w:t>
            </w:r>
          </w:p>
        </w:tc>
        <w:tc>
          <w:tcPr/>
          <w:p>
            <w:pPr>
              <w:pStyle w:val="Compact"/>
            </w:pPr>
            <w:r>
              <w:t xml:space="preserve">PWY0-845 p</w:t>
            </w:r>
          </w:p>
        </w:tc>
        <w:tc>
          <w:tcPr/>
          <w:p>
            <w:pPr>
              <w:pStyle w:val="Compact"/>
              <w:jc w:val="center"/>
            </w:pPr>
            <w:r>
              <w:t xml:space="preserve">Significant?</w:t>
            </w:r>
          </w:p>
        </w:tc>
      </w:tr>
      <w:tr>
        <w:tc>
          <w:tcPr/>
          <w:p>
            <w:pPr>
              <w:pStyle w:val="Compact"/>
            </w:pPr>
            <w:r>
              <w:t xml:space="preserve">ALDEx2 GLM</w:t>
            </w:r>
          </w:p>
        </w:tc>
        <w:tc>
          <w:tcPr/>
          <w:p>
            <w:pPr>
              <w:pStyle w:val="Compact"/>
            </w:pPr>
            <w:r>
              <w:rPr>
                <w:b/>
                <w:bCs/>
              </w:rPr>
              <w:t xml:space="preserve">0.0027</w:t>
            </w:r>
          </w:p>
        </w:tc>
        <w:tc>
          <w:tcPr/>
          <w:p>
            <w:pPr>
              <w:pStyle w:val="Compact"/>
            </w:pPr>
            <w:r>
              <w:rPr>
                <w:b/>
                <w:bCs/>
              </w:rPr>
              <w:t xml:space="preserve">0.0022</w:t>
            </w:r>
          </w:p>
        </w:tc>
        <w:tc>
          <w:tcPr/>
          <w:p>
            <w:pPr>
              <w:pStyle w:val="Compact"/>
              <w:jc w:val="center"/>
            </w:pPr>
            <w:r>
              <w:t xml:space="preserve">Yes</w:t>
            </w:r>
          </w:p>
        </w:tc>
      </w:tr>
      <w:tr>
        <w:tc>
          <w:tcPr/>
          <w:p>
            <w:pPr>
              <w:pStyle w:val="Compact"/>
            </w:pPr>
            <w:r>
              <w:t xml:space="preserve">MaAsLin2</w:t>
            </w:r>
          </w:p>
        </w:tc>
        <w:tc>
          <w:tcPr/>
          <w:p>
            <w:pPr>
              <w:pStyle w:val="Compact"/>
            </w:pPr>
            <w:r>
              <w:rPr>
                <w:b/>
                <w:bCs/>
              </w:rPr>
              <w:t xml:space="preserve">0.0070</w:t>
            </w:r>
            <w:r>
              <w:t xml:space="preserve"> </w:t>
            </w:r>
            <w:r>
              <w:t xml:space="preserve">(q=0.020)</w:t>
            </w:r>
          </w:p>
        </w:tc>
        <w:tc>
          <w:tcPr/>
          <w:p>
            <w:pPr>
              <w:pStyle w:val="Compact"/>
            </w:pPr>
            <w:r>
              <w:rPr>
                <w:b/>
                <w:bCs/>
              </w:rPr>
              <w:t xml:space="preserve">0.0114</w:t>
            </w:r>
            <w:r>
              <w:t xml:space="preserve"> </w:t>
            </w:r>
            <w:r>
              <w:t xml:space="preserve">(q=0.030)</w:t>
            </w:r>
          </w:p>
        </w:tc>
        <w:tc>
          <w:tcPr/>
          <w:p>
            <w:pPr>
              <w:pStyle w:val="Compact"/>
              <w:jc w:val="center"/>
            </w:pPr>
            <w:r>
              <w:t xml:space="preserve">Yes (FDR-significant)</w:t>
            </w:r>
          </w:p>
        </w:tc>
      </w:tr>
      <w:tr>
        <w:tc>
          <w:tcPr/>
          <w:p>
            <w:pPr>
              <w:pStyle w:val="Compact"/>
            </w:pPr>
            <w:r>
              <w:t xml:space="preserve">DESeq2</w:t>
            </w:r>
          </w:p>
        </w:tc>
        <w:tc>
          <w:tcPr/>
          <w:p>
            <w:pPr>
              <w:pStyle w:val="Compact"/>
            </w:pPr>
            <w:r>
              <w:t xml:space="preserve">0.051</w:t>
            </w:r>
          </w:p>
        </w:tc>
        <w:tc>
          <w:tcPr/>
          <w:p>
            <w:pPr>
              <w:pStyle w:val="Compact"/>
            </w:pPr>
            <w:r>
              <w:t xml:space="preserve">0.071</w:t>
            </w:r>
          </w:p>
        </w:tc>
        <w:tc>
          <w:tcPr/>
          <w:p>
            <w:pPr>
              <w:pStyle w:val="Compact"/>
              <w:jc w:val="center"/>
            </w:pPr>
            <w:r>
              <w:t xml:space="preserve">Borderline</w:t>
            </w:r>
          </w:p>
        </w:tc>
      </w:tr>
    </w:tbl>
    <w:bookmarkEnd w:id="27"/>
    <w:bookmarkEnd w:id="28"/>
    <w:bookmarkStart w:id="29" w:name="summary-4-of-5-methods-agree"/>
    <w:p>
      <w:pPr>
        <w:pStyle w:val="Heading3"/>
      </w:pPr>
      <w:r>
        <w:t xml:space="preserve">Summary: 4 of 5 Methods Agree</w:t>
      </w:r>
    </w:p>
    <w:p>
      <w:pPr>
        <w:pStyle w:val="FirstParagraph"/>
      </w:pPr>
      <w:r>
        <w:t xml:space="preserve">After batch correction,</w:t>
      </w:r>
      <w:r>
        <w:t xml:space="preserve"> </w:t>
      </w:r>
      <w:r>
        <w:rPr>
          <w:b/>
          <w:bCs/>
        </w:rPr>
        <w:t xml:space="preserve">4 out of 5 analytical methods</w:t>
      </w:r>
      <w:r>
        <w:t xml:space="preserve"> </w:t>
      </w:r>
      <w:r>
        <w:t xml:space="preserve">find the B6 pathways nominally significant (p &lt; 0.05) in DY vs DO. MaAsLin2 achieves FDR-corrected significance (q &lt; 0.05). The direction of effect is consistently positive (higher in DY) across all methods.</w:t>
      </w:r>
    </w:p>
    <w:tbl>
      <w:tblPr>
        <w:tblStyle w:val="Table"/>
        <w:tblW w:type="pct" w:w="5000"/>
        <w:tblLayout w:type="fixed"/>
        <w:tblLook w:firstRow="1" w:lastRow="0" w:firstColumn="0" w:lastColumn="0" w:noHBand="0" w:noVBand="0" w:val="0020"/>
      </w:tblPr>
      <w:tblGrid>
        <w:gridCol w:w="1408"/>
        <w:gridCol w:w="1936"/>
        <w:gridCol w:w="528"/>
        <w:gridCol w:w="3168"/>
        <w:gridCol w:w="880"/>
      </w:tblGrid>
      <w:tr>
        <w:trPr>
          <w:tblHeader w:val="on"/>
        </w:trPr>
        <w:tc>
          <w:tcPr/>
          <w:p>
            <w:pPr>
              <w:pStyle w:val="Compact"/>
            </w:pPr>
            <w:r>
              <w:t xml:space="preserve">Method</w:t>
            </w:r>
          </w:p>
        </w:tc>
        <w:tc>
          <w:tcPr/>
          <w:p>
            <w:pPr>
              <w:pStyle w:val="Compact"/>
            </w:pPr>
            <w:r>
              <w:t xml:space="preserve">Framework</w:t>
            </w:r>
          </w:p>
        </w:tc>
        <w:tc>
          <w:tcPr/>
          <w:p>
            <w:pPr>
              <w:pStyle w:val="Compact"/>
              <w:jc w:val="center"/>
            </w:pPr>
            <w:r>
              <w:t xml:space="preserve">Batch-Corrected?</w:t>
            </w:r>
          </w:p>
        </w:tc>
        <w:tc>
          <w:tcPr/>
          <w:p>
            <w:pPr>
              <w:pStyle w:val="Compact"/>
            </w:pPr>
            <w:r>
              <w:t xml:space="preserve">PYRIDOXSYN-PWY p</w:t>
            </w:r>
          </w:p>
        </w:tc>
        <w:tc>
          <w:tcPr/>
          <w:p>
            <w:pPr>
              <w:pStyle w:val="Compact"/>
              <w:jc w:val="center"/>
            </w:pPr>
            <w:r>
              <w:t xml:space="preserve">Significant?</w:t>
            </w:r>
          </w:p>
        </w:tc>
      </w:tr>
      <w:tr>
        <w:tc>
          <w:tcPr/>
          <w:p>
            <w:pPr>
              <w:pStyle w:val="Compact"/>
            </w:pPr>
            <w:r>
              <w:t xml:space="preserve">Wilcoxon</w:t>
            </w:r>
          </w:p>
        </w:tc>
        <w:tc>
          <w:tcPr/>
          <w:p>
            <w:pPr>
              <w:pStyle w:val="Compact"/>
            </w:pPr>
            <w:r>
              <w:t xml:space="preserve">Non-parametric</w:t>
            </w:r>
          </w:p>
        </w:tc>
        <w:tc>
          <w:tcPr/>
          <w:p>
            <w:pPr>
              <w:pStyle w:val="Compact"/>
              <w:jc w:val="center"/>
            </w:pPr>
            <w:r>
              <w:t xml:space="preserve">No</w:t>
            </w:r>
          </w:p>
        </w:tc>
        <w:tc>
          <w:tcPr/>
          <w:p>
            <w:pPr>
              <w:pStyle w:val="Compact"/>
            </w:pPr>
            <w:r>
              <w:t xml:space="preserve">0.024</w:t>
            </w:r>
          </w:p>
        </w:tc>
        <w:tc>
          <w:tcPr/>
          <w:p>
            <w:pPr>
              <w:pStyle w:val="Compact"/>
              <w:jc w:val="center"/>
            </w:pPr>
            <w:r>
              <w:t xml:space="preserve">Yes</w:t>
            </w:r>
          </w:p>
        </w:tc>
      </w:tr>
      <w:tr>
        <w:tc>
          <w:tcPr/>
          <w:p>
            <w:pPr>
              <w:pStyle w:val="Compact"/>
            </w:pPr>
            <w:r>
              <w:t xml:space="preserve">ALDEx2 GLM</w:t>
            </w:r>
          </w:p>
        </w:tc>
        <w:tc>
          <w:tcPr/>
          <w:p>
            <w:pPr>
              <w:pStyle w:val="Compact"/>
            </w:pPr>
            <w:r>
              <w:t xml:space="preserve">Compositional (CLR)</w:t>
            </w:r>
          </w:p>
        </w:tc>
        <w:tc>
          <w:tcPr/>
          <w:p>
            <w:pPr>
              <w:pStyle w:val="Compact"/>
              <w:jc w:val="center"/>
            </w:pPr>
            <w:r>
              <w:t xml:space="preserve">Yes</w:t>
            </w:r>
          </w:p>
        </w:tc>
        <w:tc>
          <w:tcPr/>
          <w:p>
            <w:pPr>
              <w:pStyle w:val="Compact"/>
            </w:pPr>
            <w:r>
              <w:t xml:space="preserve">0.003</w:t>
            </w:r>
          </w:p>
        </w:tc>
        <w:tc>
          <w:tcPr/>
          <w:p>
            <w:pPr>
              <w:pStyle w:val="Compact"/>
              <w:jc w:val="center"/>
            </w:pPr>
            <w:r>
              <w:t xml:space="preserve">Yes</w:t>
            </w:r>
          </w:p>
        </w:tc>
      </w:tr>
      <w:tr>
        <w:tc>
          <w:tcPr/>
          <w:p>
            <w:pPr>
              <w:pStyle w:val="Compact"/>
            </w:pPr>
            <w:r>
              <w:t xml:space="preserve">MaAsLin2</w:t>
            </w:r>
          </w:p>
        </w:tc>
        <w:tc>
          <w:tcPr/>
          <w:p>
            <w:pPr>
              <w:pStyle w:val="Compact"/>
            </w:pPr>
            <w:r>
              <w:t xml:space="preserve">Linear model</w:t>
            </w:r>
          </w:p>
        </w:tc>
        <w:tc>
          <w:tcPr/>
          <w:p>
            <w:pPr>
              <w:pStyle w:val="Compact"/>
              <w:jc w:val="center"/>
            </w:pPr>
            <w:r>
              <w:t xml:space="preserve">Yes</w:t>
            </w:r>
          </w:p>
        </w:tc>
        <w:tc>
          <w:tcPr/>
          <w:p>
            <w:pPr>
              <w:pStyle w:val="Compact"/>
            </w:pPr>
            <w:r>
              <w:t xml:space="preserve">0.007 (q=0.020)</w:t>
            </w:r>
          </w:p>
        </w:tc>
        <w:tc>
          <w:tcPr/>
          <w:p>
            <w:pPr>
              <w:pStyle w:val="Compact"/>
              <w:jc w:val="center"/>
            </w:pPr>
            <w:r>
              <w:t xml:space="preserve">Yes</w:t>
            </w:r>
          </w:p>
        </w:tc>
      </w:tr>
      <w:tr>
        <w:tc>
          <w:tcPr/>
          <w:p>
            <w:pPr>
              <w:pStyle w:val="Compact"/>
            </w:pPr>
            <w:r>
              <w:t xml:space="preserve">DESeq2</w:t>
            </w:r>
          </w:p>
        </w:tc>
        <w:tc>
          <w:tcPr/>
          <w:p>
            <w:pPr>
              <w:pStyle w:val="Compact"/>
            </w:pPr>
            <w:r>
              <w:t xml:space="preserve">Negative binomial</w:t>
            </w:r>
          </w:p>
        </w:tc>
        <w:tc>
          <w:tcPr/>
          <w:p>
            <w:pPr>
              <w:pStyle w:val="Compact"/>
              <w:jc w:val="center"/>
            </w:pPr>
            <w:r>
              <w:t xml:space="preserve">Yes</w:t>
            </w:r>
          </w:p>
        </w:tc>
        <w:tc>
          <w:tcPr/>
          <w:p>
            <w:pPr>
              <w:pStyle w:val="Compact"/>
            </w:pPr>
            <w:r>
              <w:t xml:space="preserve">0.051</w:t>
            </w:r>
          </w:p>
        </w:tc>
        <w:tc>
          <w:tcPr/>
          <w:p>
            <w:pPr>
              <w:pStyle w:val="Compact"/>
              <w:jc w:val="center"/>
            </w:pPr>
            <w:r>
              <w:t xml:space="preserve">Borderline</w:t>
            </w:r>
          </w:p>
        </w:tc>
      </w:tr>
      <w:tr>
        <w:tc>
          <w:tcPr/>
          <w:p>
            <w:pPr>
              <w:pStyle w:val="Compact"/>
            </w:pPr>
            <w:r>
              <w:t xml:space="preserve">DESeq2</w:t>
            </w:r>
          </w:p>
        </w:tc>
        <w:tc>
          <w:tcPr/>
          <w:p>
            <w:pPr>
              <w:pStyle w:val="Compact"/>
            </w:pPr>
            <w:r>
              <w:t xml:space="preserve">Negative binomial</w:t>
            </w:r>
          </w:p>
        </w:tc>
        <w:tc>
          <w:tcPr/>
          <w:p>
            <w:pPr>
              <w:pStyle w:val="Compact"/>
              <w:jc w:val="center"/>
            </w:pPr>
            <w:r>
              <w:t xml:space="preserve">No</w:t>
            </w:r>
          </w:p>
        </w:tc>
        <w:tc>
          <w:tcPr/>
          <w:p>
            <w:pPr>
              <w:pStyle w:val="Compact"/>
            </w:pPr>
            <w:r>
              <w:t xml:space="preserve">0.367</w:t>
            </w:r>
          </w:p>
        </w:tc>
        <w:tc>
          <w:tcPr/>
          <w:p>
            <w:pPr>
              <w:pStyle w:val="Compact"/>
              <w:jc w:val="center"/>
            </w:pPr>
            <w:r>
              <w:t xml:space="preserve">No</w:t>
            </w:r>
          </w:p>
        </w:tc>
      </w:tr>
    </w:tbl>
    <w:p>
      <w:pPr>
        <w:pStyle w:val="BodyText"/>
      </w:pPr>
      <w:r>
        <w:rPr>
          <w:b/>
          <w:bCs/>
        </w:rPr>
        <w:t xml:space="preserve">Interpretation:</w:t>
      </w:r>
      <w:r>
        <w:t xml:space="preserve"> </w:t>
      </w:r>
      <w:r>
        <w:t xml:space="preserve">Recipients of young HSCs show significantly higher B6 pathway activity compared to recipients of old HSCs. This is consistent with the hypothesis that young HSC transplantation partially restores a</w:t>
      </w:r>
      <w:r>
        <w:t xml:space="preserve"> </w:t>
      </w:r>
      <w:r>
        <w:t xml:space="preserve">“younger”</w:t>
      </w:r>
      <w:r>
        <w:t xml:space="preserve"> </w:t>
      </w:r>
      <w:r>
        <w:t xml:space="preserve">microbiome functional profile, including microbial vitamin B6 biosynthetic capacity.</w:t>
      </w:r>
    </w:p>
    <w:bookmarkEnd w:id="29"/>
    <w:bookmarkStart w:id="30" w:name="output-files-2"/>
    <w:p>
      <w:pPr>
        <w:pStyle w:val="Heading3"/>
      </w:pPr>
      <w:r>
        <w:t xml:space="preserve">Output Files</w:t>
      </w:r>
    </w:p>
    <w:p>
      <w:pPr>
        <w:pStyle w:val="Compact"/>
        <w:numPr>
          <w:ilvl w:val="0"/>
          <w:numId w:val="1006"/>
        </w:numPr>
      </w:pPr>
      <w:r>
        <w:rPr>
          <w:rStyle w:val="VerbatimChar"/>
        </w:rPr>
        <w:t xml:space="preserve">B6_CrossMethod_Comparison_BatchEffect.csv</w:t>
      </w:r>
      <w:r>
        <w:t xml:space="preserve"> </w:t>
      </w:r>
      <w:r>
        <w:t xml:space="preserve">— The headline cross-method comparison table</w:t>
      </w:r>
    </w:p>
    <w:p>
      <w:pPr>
        <w:pStyle w:val="Compact"/>
        <w:numPr>
          <w:ilvl w:val="0"/>
          <w:numId w:val="1006"/>
        </w:numPr>
      </w:pPr>
      <w:r>
        <w:rPr>
          <w:rStyle w:val="VerbatimChar"/>
        </w:rPr>
        <w:t xml:space="preserve">ALDEx2_B6_Pathways_DY_vs_DO_BatchCorrected.csv</w:t>
      </w:r>
    </w:p>
    <w:p>
      <w:pPr>
        <w:pStyle w:val="Compact"/>
        <w:numPr>
          <w:ilvl w:val="0"/>
          <w:numId w:val="1006"/>
        </w:numPr>
      </w:pPr>
      <w:r>
        <w:rPr>
          <w:rStyle w:val="VerbatimChar"/>
        </w:rPr>
        <w:t xml:space="preserve">DESeq2_B6_Pathways_DY_vs_DO_BatchCorrected.csv</w:t>
      </w:r>
    </w:p>
    <w:p>
      <w:pPr>
        <w:pStyle w:val="Compact"/>
        <w:numPr>
          <w:ilvl w:val="0"/>
          <w:numId w:val="1006"/>
        </w:numPr>
      </w:pPr>
      <w:r>
        <w:rPr>
          <w:rStyle w:val="VerbatimChar"/>
        </w:rPr>
        <w:t xml:space="preserve">MaAsLin2_B6_Pathways_DY_vs_DO.csv</w:t>
      </w:r>
      <w:r>
        <w:t xml:space="preserve">,</w:t>
      </w:r>
      <w:r>
        <w:t xml:space="preserve"> </w:t>
      </w:r>
      <w:r>
        <w:rPr>
          <w:rStyle w:val="VerbatimChar"/>
        </w:rPr>
        <w:t xml:space="preserve">MaAsLin2_B6_Pathways_DY_vs_DO_BatchCorrected.csv</w:t>
      </w:r>
    </w:p>
    <w:p>
      <w:pPr>
        <w:pStyle w:val="Compact"/>
        <w:numPr>
          <w:ilvl w:val="0"/>
          <w:numId w:val="1006"/>
        </w:numPr>
      </w:pPr>
      <w:r>
        <w:rPr>
          <w:rStyle w:val="VerbatimChar"/>
        </w:rPr>
        <w:t xml:space="preserve">MaAsLin2_B6_Pathways_Y_vs_O.csv</w:t>
      </w:r>
    </w:p>
    <w:p>
      <w:pPr>
        <w:pStyle w:val="Compact"/>
        <w:numPr>
          <w:ilvl w:val="0"/>
          <w:numId w:val="1006"/>
        </w:numPr>
      </w:pPr>
      <w:r>
        <w:rPr>
          <w:rStyle w:val="VerbatimChar"/>
        </w:rPr>
        <w:t xml:space="preserve">Targeted_B6_Pathways_DY_vs_DO.csv</w:t>
      </w:r>
      <w:r>
        <w:t xml:space="preserve">,</w:t>
      </w:r>
      <w:r>
        <w:t xml:space="preserve"> </w:t>
      </w:r>
      <w:r>
        <w:rPr>
          <w:rStyle w:val="VerbatimChar"/>
        </w:rPr>
        <w:t xml:space="preserve">Targeted_B6_Pathways_Y_vs_O.csv</w:t>
      </w:r>
    </w:p>
    <w:p>
      <w:pPr>
        <w:pStyle w:val="Compact"/>
        <w:numPr>
          <w:ilvl w:val="0"/>
          <w:numId w:val="1006"/>
        </w:numPr>
      </w:pPr>
      <w:r>
        <w:rPr>
          <w:rStyle w:val="VerbatimChar"/>
        </w:rPr>
        <w:t xml:space="preserve">DESeq2_B6_Pathways_Barplot.pdf</w:t>
      </w:r>
    </w:p>
    <w:p>
      <w:pPr>
        <w:pStyle w:val="Compact"/>
        <w:numPr>
          <w:ilvl w:val="0"/>
          <w:numId w:val="1006"/>
        </w:numPr>
      </w:pPr>
      <w:r>
        <w:rPr>
          <w:rStyle w:val="VerbatimChar"/>
        </w:rPr>
        <w:t xml:space="preserve">VitaminB6_Pathway_Abundance.pdf</w:t>
      </w:r>
      <w:r>
        <w:t xml:space="preserve">,</w:t>
      </w:r>
      <w:r>
        <w:t xml:space="preserve"> </w:t>
      </w:r>
      <w:r>
        <w:rPr>
          <w:rStyle w:val="VerbatimChar"/>
        </w:rPr>
        <w:t xml:space="preserve">VitaminB6_Producers_Total.pdf</w:t>
      </w:r>
    </w:p>
    <w:p>
      <w:r>
        <w:pict>
          <v:rect style="width:0;height:1.5pt" o:hralign="center" o:hrstd="t" o:hr="t"/>
        </w:pict>
      </w:r>
    </w:p>
    <w:bookmarkEnd w:id="30"/>
    <w:bookmarkEnd w:id="31"/>
    <w:bookmarkStart w:id="40" w:name="batch-effect-assessment-and-correction"/>
    <w:p>
      <w:pPr>
        <w:pStyle w:val="Heading2"/>
      </w:pPr>
      <w:r>
        <w:t xml:space="preserve">4. Batch Effect Assessment and Correction</w:t>
      </w:r>
    </w:p>
    <w:bookmarkStart w:id="32" w:name="reviewer-comment-2"/>
    <w:p>
      <w:pPr>
        <w:pStyle w:val="Heading3"/>
      </w:pPr>
      <w:r>
        <w:t xml:space="preserve">Reviewer Comment</w:t>
      </w:r>
    </w:p>
    <w:p>
      <w:pPr>
        <w:pStyle w:val="BlockText"/>
      </w:pPr>
      <w:r>
        <w:t xml:space="preserve">“Clearly state how batch effects across sequencing runs were addressed.”</w:t>
      </w:r>
    </w:p>
    <w:bookmarkEnd w:id="32"/>
    <w:bookmarkStart w:id="33" w:name="experimental-context"/>
    <w:p>
      <w:pPr>
        <w:pStyle w:val="Heading3"/>
      </w:pPr>
      <w:r>
        <w:t xml:space="preserve">Experimental Context</w:t>
      </w:r>
    </w:p>
    <w:p>
      <w:pPr>
        <w:pStyle w:val="FirstParagraph"/>
      </w:pPr>
      <w:r>
        <w:t xml:space="preserve">Due to the technical demands of bone marrow transplantation experiments (irradiation, HSC isolation, transplantation, extended monitoring), data were collected across three experimental time points spanning months to years.</w:t>
      </w:r>
    </w:p>
    <w:bookmarkEnd w:id="33"/>
    <w:bookmarkStart w:id="34" w:name="batch-structure"/>
    <w:p>
      <w:pPr>
        <w:pStyle w:val="Heading3"/>
      </w:pPr>
      <w:r>
        <w:t xml:space="preserve">Batch 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Experiment 1</w:t>
            </w:r>
          </w:p>
        </w:tc>
        <w:tc>
          <w:tcPr/>
          <w:p>
            <w:pPr>
              <w:pStyle w:val="Compact"/>
              <w:jc w:val="center"/>
            </w:pPr>
            <w:r>
              <w:t xml:space="preserve">Experiment 2</w:t>
            </w:r>
          </w:p>
        </w:tc>
        <w:tc>
          <w:tcPr/>
          <w:p>
            <w:pPr>
              <w:pStyle w:val="Compact"/>
              <w:jc w:val="center"/>
            </w:pPr>
            <w:r>
              <w:t xml:space="preserve">Experiment 3</w:t>
            </w:r>
          </w:p>
        </w:tc>
      </w:tr>
      <w:tr>
        <w:tc>
          <w:tcPr/>
          <w:p>
            <w:pPr>
              <w:pStyle w:val="Compact"/>
            </w:pPr>
            <w:r>
              <w:t xml:space="preserve">DY</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5</w:t>
            </w:r>
          </w:p>
        </w:tc>
      </w:tr>
      <w:tr>
        <w:tc>
          <w:tcPr/>
          <w:p>
            <w:pPr>
              <w:pStyle w:val="Compact"/>
            </w:pPr>
            <w:r>
              <w:t xml:space="preserve">DO</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6</w:t>
            </w:r>
          </w:p>
        </w:tc>
      </w:tr>
      <w:tr>
        <w:tc>
          <w:tcPr/>
          <w:p>
            <w:pPr>
              <w:pStyle w:val="Compact"/>
            </w:pPr>
            <w:r>
              <w:t xml:space="preserve">Y</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5</w:t>
            </w:r>
          </w:p>
        </w:tc>
      </w:tr>
      <w:tr>
        <w:tc>
          <w:tcPr/>
          <w:p>
            <w:pPr>
              <w:pStyle w:val="Compact"/>
            </w:pPr>
            <w:r>
              <w:t xml:space="preserve">O</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5</w:t>
            </w:r>
          </w:p>
        </w:tc>
      </w:tr>
    </w:tbl>
    <w:bookmarkEnd w:id="34"/>
    <w:bookmarkStart w:id="35" w:name="permanova-results-bray-curtis-distance"/>
    <w:p>
      <w:pPr>
        <w:pStyle w:val="Heading3"/>
      </w:pPr>
      <w:r>
        <w:t xml:space="preserve">PERMANOVA Results (Bray-Curtis Distance)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R²</w:t>
            </w:r>
          </w:p>
        </w:tc>
        <w:tc>
          <w:tcPr/>
          <w:p>
            <w:pPr>
              <w:pStyle w:val="Compact"/>
            </w:pPr>
            <w:r>
              <w:t xml:space="preserve">p-value</w:t>
            </w:r>
          </w:p>
        </w:tc>
      </w:tr>
      <w:tr>
        <w:tc>
          <w:tcPr/>
          <w:p>
            <w:pPr>
              <w:pStyle w:val="Compact"/>
            </w:pPr>
            <w:r>
              <w:t xml:space="preserve">Groups (biological)</w:t>
            </w:r>
          </w:p>
        </w:tc>
        <w:tc>
          <w:tcPr/>
          <w:p>
            <w:pPr>
              <w:pStyle w:val="Compact"/>
            </w:pPr>
            <w:r>
              <w:t xml:space="preserve">54.8%</w:t>
            </w:r>
          </w:p>
        </w:tc>
        <w:tc>
          <w:tcPr/>
          <w:p>
            <w:pPr>
              <w:pStyle w:val="Compact"/>
            </w:pPr>
            <w:r>
              <w:t xml:space="preserve">0.001</w:t>
            </w:r>
          </w:p>
        </w:tc>
      </w:tr>
      <w:tr>
        <w:tc>
          <w:tcPr/>
          <w:p>
            <w:pPr>
              <w:pStyle w:val="Compact"/>
            </w:pPr>
            <w:r>
              <w:t xml:space="preserve">Experiment (batch)</w:t>
            </w:r>
          </w:p>
        </w:tc>
        <w:tc>
          <w:tcPr/>
          <w:p>
            <w:pPr>
              <w:pStyle w:val="Compact"/>
            </w:pPr>
            <w:r>
              <w:t xml:space="preserve">Included in model</w:t>
            </w:r>
          </w:p>
        </w:tc>
        <w:tc>
          <w:tcPr/>
          <w:p>
            <w:pPr>
              <w:pStyle w:val="Compact"/>
            </w:pPr>
            <w:r>
              <w:t xml:space="preserve">0.001</w:t>
            </w:r>
          </w:p>
        </w:tc>
      </w:tr>
      <w:tr>
        <w:tc>
          <w:tcPr/>
          <w:p>
            <w:pPr>
              <w:pStyle w:val="Compact"/>
            </w:pPr>
            <w:r>
              <w:t xml:space="preserve">Residual</w:t>
            </w:r>
          </w:p>
        </w:tc>
        <w:tc>
          <w:tcPr/>
          <w:p>
            <w:pPr>
              <w:pStyle w:val="Compact"/>
            </w:pPr>
            <w:r>
              <w:t xml:space="preserve">45.2%</w:t>
            </w:r>
          </w:p>
        </w:tc>
        <w:tc>
          <w:tcPr/>
          <w:p>
            <w:pPr>
              <w:pStyle w:val="Compact"/>
            </w:pPr>
            <w:r>
              <w:t xml:space="preserve">—</w:t>
            </w:r>
          </w:p>
        </w:tc>
      </w:tr>
    </w:tbl>
    <w:bookmarkEnd w:id="35"/>
    <w:bookmarkStart w:id="36" w:name="within-group-batch-effects"/>
    <w:p>
      <w:pPr>
        <w:pStyle w:val="Heading3"/>
      </w:pPr>
      <w:r>
        <w:t xml:space="preserve">Within-Group Batch Effects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Batch R²</w:t>
            </w:r>
          </w:p>
        </w:tc>
        <w:tc>
          <w:tcPr/>
          <w:p>
            <w:pPr>
              <w:pStyle w:val="Compact"/>
            </w:pPr>
            <w:r>
              <w:t xml:space="preserve">p-value</w:t>
            </w:r>
          </w:p>
        </w:tc>
      </w:tr>
      <w:tr>
        <w:tc>
          <w:tcPr/>
          <w:p>
            <w:pPr>
              <w:pStyle w:val="Compact"/>
            </w:pPr>
            <w:r>
              <w:t xml:space="preserve">DY</w:t>
            </w:r>
          </w:p>
        </w:tc>
        <w:tc>
          <w:tcPr/>
          <w:p>
            <w:pPr>
              <w:pStyle w:val="Compact"/>
            </w:pPr>
            <w:r>
              <w:t xml:space="preserve">77.8%</w:t>
            </w:r>
          </w:p>
        </w:tc>
        <w:tc>
          <w:tcPr/>
          <w:p>
            <w:pPr>
              <w:pStyle w:val="Compact"/>
            </w:pPr>
            <w:r>
              <w:t xml:space="preserve">0.001</w:t>
            </w:r>
          </w:p>
        </w:tc>
      </w:tr>
      <w:tr>
        <w:tc>
          <w:tcPr/>
          <w:p>
            <w:pPr>
              <w:pStyle w:val="Compact"/>
            </w:pPr>
            <w:r>
              <w:t xml:space="preserve">DO</w:t>
            </w:r>
          </w:p>
        </w:tc>
        <w:tc>
          <w:tcPr/>
          <w:p>
            <w:pPr>
              <w:pStyle w:val="Compact"/>
            </w:pPr>
            <w:r>
              <w:t xml:space="preserve">59.6%</w:t>
            </w:r>
          </w:p>
        </w:tc>
        <w:tc>
          <w:tcPr/>
          <w:p>
            <w:pPr>
              <w:pStyle w:val="Compact"/>
            </w:pPr>
            <w:r>
              <w:t xml:space="preserve">0.001</w:t>
            </w:r>
          </w:p>
        </w:tc>
      </w:tr>
      <w:tr>
        <w:tc>
          <w:tcPr/>
          <w:p>
            <w:pPr>
              <w:pStyle w:val="Compact"/>
            </w:pPr>
            <w:r>
              <w:t xml:space="preserve">Y</w:t>
            </w:r>
          </w:p>
        </w:tc>
        <w:tc>
          <w:tcPr/>
          <w:p>
            <w:pPr>
              <w:pStyle w:val="Compact"/>
            </w:pPr>
            <w:r>
              <w:t xml:space="preserve">69.6%</w:t>
            </w:r>
          </w:p>
        </w:tc>
        <w:tc>
          <w:tcPr/>
          <w:p>
            <w:pPr>
              <w:pStyle w:val="Compact"/>
            </w:pPr>
            <w:r>
              <w:t xml:space="preserve">0.004</w:t>
            </w:r>
          </w:p>
        </w:tc>
      </w:tr>
      <w:tr>
        <w:tc>
          <w:tcPr/>
          <w:p>
            <w:pPr>
              <w:pStyle w:val="Compact"/>
            </w:pPr>
            <w:r>
              <w:t xml:space="preserve">O</w:t>
            </w:r>
          </w:p>
        </w:tc>
        <w:tc>
          <w:tcPr/>
          <w:p>
            <w:pPr>
              <w:pStyle w:val="Compact"/>
            </w:pPr>
            <w:r>
              <w:t xml:space="preserve">65.0%</w:t>
            </w:r>
          </w:p>
        </w:tc>
        <w:tc>
          <w:tcPr/>
          <w:p>
            <w:pPr>
              <w:pStyle w:val="Compact"/>
            </w:pPr>
            <w:r>
              <w:t xml:space="preserve">0.003</w:t>
            </w:r>
          </w:p>
        </w:tc>
      </w:tr>
    </w:tbl>
    <w:bookmarkEnd w:id="36"/>
    <w:bookmarkStart w:id="37" w:name="batch-correction-approach"/>
    <w:p>
      <w:pPr>
        <w:pStyle w:val="Heading3"/>
      </w:pPr>
      <w:r>
        <w:t xml:space="preserve">Batch Correction Approach</w:t>
      </w:r>
    </w:p>
    <w:p>
      <w:pPr>
        <w:pStyle w:val="FirstParagraph"/>
      </w:pPr>
      <w:r>
        <w:t xml:space="preserve">Rather than applying global correction methods (e.g., ComBat), which can remove biological signal in partially confounded designs,</w:t>
      </w:r>
      <w:r>
        <w:t xml:space="preserve"> </w:t>
      </w:r>
      <w:r>
        <w:rPr>
          <w:b/>
          <w:bCs/>
        </w:rPr>
        <w:t xml:space="preserve">experimental batch was included as a covariate</w:t>
      </w:r>
      <w:r>
        <w:t xml:space="preserve"> </w:t>
      </w:r>
      <w:r>
        <w:t xml:space="preserve">in all multivariable differential abundance models:</w:t>
      </w:r>
      <w:r>
        <w:t xml:space="preserve"> </w:t>
      </w:r>
      <w:r>
        <w:t xml:space="preserve">- ALDEx2:</w:t>
      </w:r>
      <w:r>
        <w:t xml:space="preserve"> </w:t>
      </w:r>
      <w:r>
        <w:rPr>
          <w:rStyle w:val="VerbatimChar"/>
        </w:rPr>
        <w:t xml:space="preserve">aldex.glm()</w:t>
      </w:r>
      <w:r>
        <w:t xml:space="preserve"> </w:t>
      </w:r>
      <w:r>
        <w:t xml:space="preserve">with model matrix</w:t>
      </w:r>
      <w:r>
        <w:t xml:space="preserve"> </w:t>
      </w:r>
      <w:r>
        <w:rPr>
          <w:rStyle w:val="VerbatimChar"/>
        </w:rPr>
        <w:t xml:space="preserve">~ Experiment + Groups</w:t>
      </w:r>
      <w:r>
        <w:t xml:space="preserve"> </w:t>
      </w:r>
      <w:r>
        <w:t xml:space="preserve">- DESeq2: design formula</w:t>
      </w:r>
      <w:r>
        <w:t xml:space="preserve"> </w:t>
      </w:r>
      <w:r>
        <w:rPr>
          <w:rStyle w:val="VerbatimChar"/>
        </w:rPr>
        <w:t xml:space="preserve">~ Experiment + Groups</w:t>
      </w:r>
      <w:r>
        <w:t xml:space="preserve"> </w:t>
      </w:r>
      <w:r>
        <w:t xml:space="preserve">- MaAsLin2: Experiment as fixed-effect covariate</w:t>
      </w:r>
    </w:p>
    <w:bookmarkEnd w:id="37"/>
    <w:bookmarkStart w:id="38" w:name="X02b064eea66b8bc25555096cae9015e65cd6b03"/>
    <w:p>
      <w:pPr>
        <w:pStyle w:val="Heading3"/>
      </w:pPr>
      <w:r>
        <w:t xml:space="preserve">Impact of Batch Correction on B6 Pathway Detection</w:t>
      </w:r>
    </w:p>
    <w:tbl>
      <w:tblPr>
        <w:tblStyle w:val="Table"/>
        <w:tblW w:type="pct" w:w="5000"/>
        <w:tblLayout w:type="fixed"/>
        <w:tblLook w:firstRow="1" w:lastRow="0" w:firstColumn="0" w:lastColumn="0" w:noHBand="0" w:noVBand="0" w:val="0020"/>
      </w:tblPr>
      <w:tblGrid>
        <w:gridCol w:w="931"/>
        <w:gridCol w:w="2562"/>
        <w:gridCol w:w="3494"/>
        <w:gridCol w:w="931"/>
      </w:tblGrid>
      <w:tr>
        <w:trPr>
          <w:tblHeader w:val="on"/>
        </w:trPr>
        <w:tc>
          <w:tcPr/>
          <w:p>
            <w:pPr>
              <w:pStyle w:val="Compact"/>
            </w:pPr>
            <w:r>
              <w:t xml:space="preserve">Method</w:t>
            </w:r>
          </w:p>
        </w:tc>
        <w:tc>
          <w:tcPr/>
          <w:p>
            <w:pPr>
              <w:pStyle w:val="Compact"/>
            </w:pPr>
            <w:r>
              <w:t xml:space="preserve">B6 p-value (no batch)</w:t>
            </w:r>
          </w:p>
        </w:tc>
        <w:tc>
          <w:tcPr/>
          <w:p>
            <w:pPr>
              <w:pStyle w:val="Compact"/>
            </w:pPr>
            <w:r>
              <w:t xml:space="preserve">B6 p-value (batch-corrected)</w:t>
            </w:r>
          </w:p>
        </w:tc>
        <w:tc>
          <w:tcPr/>
          <w:p>
            <w:pPr>
              <w:pStyle w:val="Compact"/>
            </w:pPr>
            <w:r>
              <w:t xml:space="preserve">Change</w:t>
            </w:r>
          </w:p>
        </w:tc>
      </w:tr>
      <w:tr>
        <w:tc>
          <w:tcPr/>
          <w:p>
            <w:pPr>
              <w:pStyle w:val="Compact"/>
            </w:pPr>
            <w:r>
              <w:t xml:space="preserve">ALDEx2</w:t>
            </w:r>
          </w:p>
        </w:tc>
        <w:tc>
          <w:tcPr/>
          <w:p>
            <w:pPr>
              <w:pStyle w:val="Compact"/>
            </w:pPr>
            <w:r>
              <w:t xml:space="preserve">0.009</w:t>
            </w:r>
          </w:p>
        </w:tc>
        <w:tc>
          <w:tcPr/>
          <w:p>
            <w:pPr>
              <w:pStyle w:val="Compact"/>
            </w:pPr>
            <w:r>
              <w:rPr>
                <w:b/>
                <w:bCs/>
              </w:rPr>
              <w:t xml:space="preserve">0.003</w:t>
            </w:r>
          </w:p>
        </w:tc>
        <w:tc>
          <w:tcPr/>
          <w:p>
            <w:pPr>
              <w:pStyle w:val="Compact"/>
            </w:pPr>
            <w:r>
              <w:t xml:space="preserve">Stronger</w:t>
            </w:r>
          </w:p>
        </w:tc>
      </w:tr>
      <w:tr>
        <w:tc>
          <w:tcPr/>
          <w:p>
            <w:pPr>
              <w:pStyle w:val="Compact"/>
            </w:pPr>
            <w:r>
              <w:t xml:space="preserve">DESeq2</w:t>
            </w:r>
          </w:p>
        </w:tc>
        <w:tc>
          <w:tcPr/>
          <w:p>
            <w:pPr>
              <w:pStyle w:val="Compact"/>
            </w:pPr>
            <w:r>
              <w:t xml:space="preserve">0.367</w:t>
            </w:r>
          </w:p>
        </w:tc>
        <w:tc>
          <w:tcPr/>
          <w:p>
            <w:pPr>
              <w:pStyle w:val="Compact"/>
            </w:pPr>
            <w:r>
              <w:rPr>
                <w:b/>
                <w:bCs/>
              </w:rPr>
              <w:t xml:space="preserve">0.051</w:t>
            </w:r>
          </w:p>
        </w:tc>
        <w:tc>
          <w:tcPr/>
          <w:p>
            <w:pPr>
              <w:pStyle w:val="Compact"/>
            </w:pPr>
            <w:r>
              <w:t xml:space="preserve">Dramatic improvement</w:t>
            </w:r>
          </w:p>
        </w:tc>
      </w:tr>
      <w:tr>
        <w:tc>
          <w:tcPr/>
          <w:p>
            <w:pPr>
              <w:pStyle w:val="Compact"/>
            </w:pPr>
            <w:r>
              <w:t xml:space="preserve">MaAsLin2</w:t>
            </w:r>
          </w:p>
        </w:tc>
        <w:tc>
          <w:tcPr/>
          <w:p>
            <w:pPr>
              <w:pStyle w:val="Compact"/>
            </w:pPr>
            <w:r>
              <w:t xml:space="preserve">0.099</w:t>
            </w:r>
          </w:p>
        </w:tc>
        <w:tc>
          <w:tcPr/>
          <w:p>
            <w:pPr>
              <w:pStyle w:val="Compact"/>
            </w:pPr>
            <w:r>
              <w:rPr>
                <w:b/>
                <w:bCs/>
              </w:rPr>
              <w:t xml:space="preserve">0.007</w:t>
            </w:r>
            <w:r>
              <w:t xml:space="preserve"> </w:t>
            </w:r>
            <w:r>
              <w:t xml:space="preserve">(q=0.020)</w:t>
            </w:r>
          </w:p>
        </w:tc>
        <w:tc>
          <w:tcPr/>
          <w:p>
            <w:pPr>
              <w:pStyle w:val="Compact"/>
            </w:pPr>
            <w:r>
              <w:t xml:space="preserve">Non-significant → FDR-significant</w:t>
            </w:r>
          </w:p>
        </w:tc>
      </w:tr>
    </w:tbl>
    <w:p>
      <w:pPr>
        <w:pStyle w:val="BodyText"/>
      </w:pPr>
      <w:r>
        <w:rPr>
          <w:b/>
          <w:bCs/>
        </w:rPr>
        <w:t xml:space="preserve">Conclusion:</w:t>
      </w:r>
      <w:r>
        <w:t xml:space="preserve"> </w:t>
      </w:r>
      <w:r>
        <w:t xml:space="preserve">Batch effects were obscuring a real biological signal. Explicit covariate modeling is the appropriate approach and strengthens the B6 finding from 2/4 to 4/5 methods.</w:t>
      </w:r>
    </w:p>
    <w:bookmarkEnd w:id="38"/>
    <w:bookmarkStart w:id="39" w:name="output-files-3"/>
    <w:p>
      <w:pPr>
        <w:pStyle w:val="Heading3"/>
      </w:pPr>
      <w:r>
        <w:t xml:space="preserve">Output Files</w:t>
      </w:r>
    </w:p>
    <w:p>
      <w:pPr>
        <w:pStyle w:val="Compact"/>
        <w:numPr>
          <w:ilvl w:val="0"/>
          <w:numId w:val="1007"/>
        </w:numPr>
      </w:pPr>
      <w:r>
        <w:rPr>
          <w:rStyle w:val="VerbatimChar"/>
        </w:rPr>
        <w:t xml:space="preserve">Reviewer_BatchEffect_PCA.pdf</w:t>
      </w:r>
    </w:p>
    <w:p>
      <w:pPr>
        <w:pStyle w:val="Compact"/>
        <w:numPr>
          <w:ilvl w:val="0"/>
          <w:numId w:val="1007"/>
        </w:numPr>
      </w:pPr>
      <w:r>
        <w:rPr>
          <w:rStyle w:val="VerbatimChar"/>
        </w:rPr>
        <w:t xml:space="preserve">Reviewer_PERMANOVA_BatchEffects.csv</w:t>
      </w:r>
    </w:p>
    <w:p>
      <w:pPr>
        <w:pStyle w:val="Compact"/>
        <w:numPr>
          <w:ilvl w:val="0"/>
          <w:numId w:val="1007"/>
        </w:numPr>
      </w:pPr>
      <w:r>
        <w:rPr>
          <w:rStyle w:val="VerbatimChar"/>
        </w:rPr>
        <w:t xml:space="preserve">B6_CrossMethod_Comparison_BatchEffect.csv</w:t>
      </w:r>
    </w:p>
    <w:p>
      <w:r>
        <w:pict>
          <v:rect style="width:0;height:1.5pt" o:hralign="center" o:hrstd="t" o:hr="t"/>
        </w:pict>
      </w:r>
    </w:p>
    <w:bookmarkEnd w:id="39"/>
    <w:bookmarkEnd w:id="40"/>
    <w:bookmarkStart w:id="46" w:name="X2a7f070780618d6511cf3fa5284bec13d9cc230"/>
    <w:p>
      <w:pPr>
        <w:pStyle w:val="Heading2"/>
      </w:pPr>
      <w:r>
        <w:t xml:space="preserve">5. Power Analysis and Sample Size Justification</w:t>
      </w:r>
    </w:p>
    <w:bookmarkStart w:id="41" w:name="reviewer-comment-3"/>
    <w:p>
      <w:pPr>
        <w:pStyle w:val="Heading3"/>
      </w:pPr>
      <w:r>
        <w:t xml:space="preserve">Reviewer Comment</w:t>
      </w:r>
    </w:p>
    <w:p>
      <w:pPr>
        <w:pStyle w:val="BlockText"/>
      </w:pPr>
      <w:r>
        <w:t xml:space="preserve">“Some comparisons (n = 6 per group) are underpowered for metagenomic variance. Provide a power analysis or variance estimates supporting the sample size.”</w:t>
      </w:r>
    </w:p>
    <w:bookmarkEnd w:id="41"/>
    <w:bookmarkStart w:id="42" w:name="variance-estimates-by-group"/>
    <w:p>
      <w:pPr>
        <w:pStyle w:val="Heading3"/>
      </w:pPr>
      <w:r>
        <w:t xml:space="preserve">Variance Estimates by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n</w:t>
            </w:r>
          </w:p>
        </w:tc>
        <w:tc>
          <w:tcPr/>
          <w:p>
            <w:pPr>
              <w:pStyle w:val="Compact"/>
            </w:pPr>
            <w:r>
              <w:t xml:space="preserve">Shannon CV (%)</w:t>
            </w:r>
          </w:p>
        </w:tc>
        <w:tc>
          <w:tcPr/>
          <w:p>
            <w:pPr>
              <w:pStyle w:val="Compact"/>
            </w:pPr>
            <w:r>
              <w:t xml:space="preserve">Chao1 CV (%)</w:t>
            </w:r>
          </w:p>
        </w:tc>
      </w:tr>
      <w:tr>
        <w:tc>
          <w:tcPr/>
          <w:p>
            <w:pPr>
              <w:pStyle w:val="Compact"/>
            </w:pPr>
            <w:r>
              <w:t xml:space="preserve">Y</w:t>
            </w:r>
          </w:p>
        </w:tc>
        <w:tc>
          <w:tcPr/>
          <w:p>
            <w:pPr>
              <w:pStyle w:val="Compact"/>
            </w:pPr>
            <w:r>
              <w:t xml:space="preserve">11</w:t>
            </w:r>
          </w:p>
        </w:tc>
        <w:tc>
          <w:tcPr/>
          <w:p>
            <w:pPr>
              <w:pStyle w:val="Compact"/>
            </w:pPr>
            <w:r>
              <w:t xml:space="preserve">7.6%</w:t>
            </w:r>
          </w:p>
        </w:tc>
        <w:tc>
          <w:tcPr/>
          <w:p>
            <w:pPr>
              <w:pStyle w:val="Compact"/>
            </w:pPr>
            <w:r>
              <w:t xml:space="preserve">4.9%</w:t>
            </w:r>
          </w:p>
        </w:tc>
      </w:tr>
      <w:tr>
        <w:tc>
          <w:tcPr/>
          <w:p>
            <w:pPr>
              <w:pStyle w:val="Compact"/>
            </w:pPr>
            <w:r>
              <w:t xml:space="preserve">O</w:t>
            </w:r>
          </w:p>
        </w:tc>
        <w:tc>
          <w:tcPr/>
          <w:p>
            <w:pPr>
              <w:pStyle w:val="Compact"/>
            </w:pPr>
            <w:r>
              <w:t xml:space="preserve">11</w:t>
            </w:r>
          </w:p>
        </w:tc>
        <w:tc>
          <w:tcPr/>
          <w:p>
            <w:pPr>
              <w:pStyle w:val="Compact"/>
            </w:pPr>
            <w:r>
              <w:t xml:space="preserve">14.3%</w:t>
            </w:r>
          </w:p>
        </w:tc>
        <w:tc>
          <w:tcPr/>
          <w:p>
            <w:pPr>
              <w:pStyle w:val="Compact"/>
            </w:pPr>
            <w:r>
              <w:t xml:space="preserve">6.0%</w:t>
            </w:r>
          </w:p>
        </w:tc>
      </w:tr>
      <w:tr>
        <w:tc>
          <w:tcPr/>
          <w:p>
            <w:pPr>
              <w:pStyle w:val="Compact"/>
            </w:pPr>
            <w:r>
              <w:t xml:space="preserve">RAG1-/-</w:t>
            </w:r>
          </w:p>
        </w:tc>
        <w:tc>
          <w:tcPr/>
          <w:p>
            <w:pPr>
              <w:pStyle w:val="Compact"/>
            </w:pPr>
            <w:r>
              <w:t xml:space="preserve">6</w:t>
            </w:r>
          </w:p>
        </w:tc>
        <w:tc>
          <w:tcPr/>
          <w:p>
            <w:pPr>
              <w:pStyle w:val="Compact"/>
            </w:pPr>
            <w:r>
              <w:t xml:space="preserve">1.2%</w:t>
            </w:r>
          </w:p>
        </w:tc>
        <w:tc>
          <w:tcPr/>
          <w:p>
            <w:pPr>
              <w:pStyle w:val="Compact"/>
            </w:pPr>
            <w:r>
              <w:t xml:space="preserve">11.6%</w:t>
            </w:r>
          </w:p>
        </w:tc>
      </w:tr>
      <w:tr>
        <w:tc>
          <w:tcPr/>
          <w:p>
            <w:pPr>
              <w:pStyle w:val="Compact"/>
            </w:pPr>
            <w:r>
              <w:t xml:space="preserve">DY</w:t>
            </w:r>
          </w:p>
        </w:tc>
        <w:tc>
          <w:tcPr/>
          <w:p>
            <w:pPr>
              <w:pStyle w:val="Compact"/>
            </w:pPr>
            <w:r>
              <w:t xml:space="preserve">15</w:t>
            </w:r>
          </w:p>
        </w:tc>
        <w:tc>
          <w:tcPr/>
          <w:p>
            <w:pPr>
              <w:pStyle w:val="Compact"/>
            </w:pPr>
            <w:r>
              <w:t xml:space="preserve">30.8%</w:t>
            </w:r>
          </w:p>
        </w:tc>
        <w:tc>
          <w:tcPr/>
          <w:p>
            <w:pPr>
              <w:pStyle w:val="Compact"/>
            </w:pPr>
            <w:r>
              <w:t xml:space="preserve">35.6%</w:t>
            </w:r>
          </w:p>
        </w:tc>
      </w:tr>
      <w:tr>
        <w:tc>
          <w:tcPr/>
          <w:p>
            <w:pPr>
              <w:pStyle w:val="Compact"/>
            </w:pPr>
            <w:r>
              <w:t xml:space="preserve">DO</w:t>
            </w:r>
          </w:p>
        </w:tc>
        <w:tc>
          <w:tcPr/>
          <w:p>
            <w:pPr>
              <w:pStyle w:val="Compact"/>
            </w:pPr>
            <w:r>
              <w:t xml:space="preserve">15</w:t>
            </w:r>
          </w:p>
        </w:tc>
        <w:tc>
          <w:tcPr/>
          <w:p>
            <w:pPr>
              <w:pStyle w:val="Compact"/>
            </w:pPr>
            <w:r>
              <w:t xml:space="preserve">36.5%</w:t>
            </w:r>
          </w:p>
        </w:tc>
        <w:tc>
          <w:tcPr/>
          <w:p>
            <w:pPr>
              <w:pStyle w:val="Compact"/>
            </w:pPr>
            <w:r>
              <w:t xml:space="preserve">28.9%</w:t>
            </w:r>
          </w:p>
        </w:tc>
      </w:tr>
    </w:tbl>
    <w:p>
      <w:pPr>
        <w:pStyle w:val="BodyText"/>
      </w:pPr>
      <w:r>
        <w:t xml:space="preserve">Transplanted groups show much higher variance (CV 29-36%) compared to untransplanted controls (CV 1-14%), reflecting biological heterogeneity in microbiome reconstitution.</w:t>
      </w:r>
    </w:p>
    <w:bookmarkEnd w:id="42"/>
    <w:bookmarkStart w:id="43" w:name="post-hoc-power-analysis"/>
    <w:p>
      <w:pPr>
        <w:pStyle w:val="Heading3"/>
      </w:pPr>
      <w:r>
        <w:t xml:space="preserve">Post-hoc Power Analysis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Comparison</w:t>
            </w:r>
          </w:p>
        </w:tc>
        <w:tc>
          <w:tcPr/>
          <w:p>
            <w:pPr>
              <w:pStyle w:val="Compact"/>
            </w:pPr>
            <w:r>
              <w:t xml:space="preserve">Metric</w:t>
            </w:r>
          </w:p>
        </w:tc>
        <w:tc>
          <w:tcPr/>
          <w:p>
            <w:pPr>
              <w:pStyle w:val="Compact"/>
            </w:pPr>
            <w:r>
              <w:t xml:space="preserve">Cohen’s d</w:t>
            </w:r>
          </w:p>
        </w:tc>
        <w:tc>
          <w:tcPr/>
          <w:p>
            <w:pPr>
              <w:pStyle w:val="Compact"/>
            </w:pPr>
            <w:r>
              <w:t xml:space="preserve">Achieved Power</w:t>
            </w:r>
          </w:p>
        </w:tc>
        <w:tc>
          <w:tcPr/>
          <w:p>
            <w:pPr>
              <w:pStyle w:val="Compact"/>
            </w:pPr>
            <w:r>
              <w:t xml:space="preserve">n for 80% Power</w:t>
            </w:r>
          </w:p>
        </w:tc>
      </w:tr>
      <w:tr>
        <w:tc>
          <w:tcPr/>
          <w:p>
            <w:pPr>
              <w:pStyle w:val="Compact"/>
            </w:pPr>
            <w:r>
              <w:t xml:space="preserve">Y vs O</w:t>
            </w:r>
          </w:p>
        </w:tc>
        <w:tc>
          <w:tcPr/>
          <w:p>
            <w:pPr>
              <w:pStyle w:val="Compact"/>
            </w:pPr>
            <w:r>
              <w:t xml:space="preserve">Shannon</w:t>
            </w:r>
          </w:p>
        </w:tc>
        <w:tc>
          <w:tcPr/>
          <w:p>
            <w:pPr>
              <w:pStyle w:val="Compact"/>
            </w:pPr>
            <w:r>
              <w:t xml:space="preserve">0.354</w:t>
            </w:r>
          </w:p>
        </w:tc>
        <w:tc>
          <w:tcPr/>
          <w:p>
            <w:pPr>
              <w:pStyle w:val="Compact"/>
            </w:pPr>
            <w:r>
              <w:t xml:space="preserve">12.4%</w:t>
            </w:r>
          </w:p>
        </w:tc>
        <w:tc>
          <w:tcPr/>
          <w:p>
            <w:pPr>
              <w:pStyle w:val="Compact"/>
            </w:pPr>
            <w:r>
              <w:t xml:space="preserve">127 per group</w:t>
            </w:r>
          </w:p>
        </w:tc>
      </w:tr>
      <w:tr>
        <w:tc>
          <w:tcPr/>
          <w:p>
            <w:pPr>
              <w:pStyle w:val="Compact"/>
            </w:pPr>
            <w:r>
              <w:t xml:space="preserve">Y vs O</w:t>
            </w:r>
          </w:p>
        </w:tc>
        <w:tc>
          <w:tcPr/>
          <w:p>
            <w:pPr>
              <w:pStyle w:val="Compact"/>
            </w:pPr>
            <w:r>
              <w:t xml:space="preserve">Simpson</w:t>
            </w:r>
          </w:p>
        </w:tc>
        <w:tc>
          <w:tcPr/>
          <w:p>
            <w:pPr>
              <w:pStyle w:val="Compact"/>
            </w:pPr>
            <w:r>
              <w:t xml:space="preserve">0.665</w:t>
            </w:r>
          </w:p>
        </w:tc>
        <w:tc>
          <w:tcPr/>
          <w:p>
            <w:pPr>
              <w:pStyle w:val="Compact"/>
            </w:pPr>
            <w:r>
              <w:t xml:space="preserve">31.8%</w:t>
            </w:r>
          </w:p>
        </w:tc>
        <w:tc>
          <w:tcPr/>
          <w:p>
            <w:pPr>
              <w:pStyle w:val="Compact"/>
            </w:pPr>
            <w:r>
              <w:t xml:space="preserve">37 per group</w:t>
            </w:r>
          </w:p>
        </w:tc>
      </w:tr>
      <w:tr>
        <w:tc>
          <w:tcPr/>
          <w:p>
            <w:pPr>
              <w:pStyle w:val="Compact"/>
            </w:pPr>
            <w:r>
              <w:t xml:space="preserve">DY vs DO</w:t>
            </w:r>
          </w:p>
        </w:tc>
        <w:tc>
          <w:tcPr/>
          <w:p>
            <w:pPr>
              <w:pStyle w:val="Compact"/>
            </w:pPr>
            <w:r>
              <w:t xml:space="preserve">Shannon</w:t>
            </w:r>
          </w:p>
        </w:tc>
        <w:tc>
          <w:tcPr/>
          <w:p>
            <w:pPr>
              <w:pStyle w:val="Compact"/>
            </w:pPr>
            <w:r>
              <w:t xml:space="preserve">0.283</w:t>
            </w:r>
          </w:p>
        </w:tc>
        <w:tc>
          <w:tcPr/>
          <w:p>
            <w:pPr>
              <w:pStyle w:val="Compact"/>
            </w:pPr>
            <w:r>
              <w:t xml:space="preserve">11.6%</w:t>
            </w:r>
          </w:p>
        </w:tc>
        <w:tc>
          <w:tcPr/>
          <w:p>
            <w:pPr>
              <w:pStyle w:val="Compact"/>
            </w:pPr>
            <w:r>
              <w:t xml:space="preserve">197 per group</w:t>
            </w:r>
          </w:p>
        </w:tc>
      </w:tr>
      <w:tr>
        <w:tc>
          <w:tcPr/>
          <w:p>
            <w:pPr>
              <w:pStyle w:val="Compact"/>
            </w:pPr>
            <w:r>
              <w:t xml:space="preserve">DY vs DO</w:t>
            </w:r>
          </w:p>
        </w:tc>
        <w:tc>
          <w:tcPr/>
          <w:p>
            <w:pPr>
              <w:pStyle w:val="Compact"/>
            </w:pPr>
            <w:r>
              <w:t xml:space="preserve">Chao1</w:t>
            </w:r>
          </w:p>
        </w:tc>
        <w:tc>
          <w:tcPr/>
          <w:p>
            <w:pPr>
              <w:pStyle w:val="Compact"/>
            </w:pPr>
            <w:r>
              <w:t xml:space="preserve">0.362</w:t>
            </w:r>
          </w:p>
        </w:tc>
        <w:tc>
          <w:tcPr/>
          <w:p>
            <w:pPr>
              <w:pStyle w:val="Compact"/>
            </w:pPr>
            <w:r>
              <w:t xml:space="preserve">16.8%</w:t>
            </w:r>
          </w:p>
        </w:tc>
        <w:tc>
          <w:tcPr/>
          <w:p>
            <w:pPr>
              <w:pStyle w:val="Compact"/>
            </w:pPr>
            <w:r>
              <w:t xml:space="preserve">121 per group</w:t>
            </w:r>
          </w:p>
        </w:tc>
      </w:tr>
    </w:tbl>
    <w:bookmarkEnd w:id="43"/>
    <w:bookmarkStart w:id="44" w:name="interpretation"/>
    <w:p>
      <w:pPr>
        <w:pStyle w:val="Heading3"/>
      </w:pPr>
      <w:r>
        <w:t xml:space="preserve">Interpretation</w:t>
      </w:r>
    </w:p>
    <w:p>
      <w:pPr>
        <w:pStyle w:val="FirstParagraph"/>
      </w:pPr>
      <w:r>
        <w:t xml:space="preserve">The study was adequately powered (&gt;80%) for</w:t>
      </w:r>
      <w:r>
        <w:t xml:space="preserve"> </w:t>
      </w:r>
      <w:r>
        <w:rPr>
          <w:b/>
          <w:bCs/>
        </w:rPr>
        <w:t xml:space="preserve">large effect sizes (d &gt; 0.8)</w:t>
      </w:r>
      <w:r>
        <w:t xml:space="preserve">, typical for comparisons between genetic backgrounds (Y vs RAG1-/-, d = 1.77, power = 91%). For subtler age-related effects (d ~ 0.3), the study is underpowered.</w:t>
      </w:r>
    </w:p>
    <w:p>
      <w:pPr>
        <w:pStyle w:val="BodyText"/>
      </w:pPr>
      <w:r>
        <w:t xml:space="preserve">However, the B6 pathway finding demonstrates robust biology despite limited power: significance was achieved in Y vs O and confirmed across 4/5 methods in DY vs DO after batch correction (MaAsLin2 q &lt; 0.05).</w:t>
      </w:r>
    </w:p>
    <w:bookmarkEnd w:id="44"/>
    <w:bookmarkStart w:id="45" w:name="output-files-4"/>
    <w:p>
      <w:pPr>
        <w:pStyle w:val="Heading3"/>
      </w:pPr>
      <w:r>
        <w:t xml:space="preserve">Output Files</w:t>
      </w:r>
    </w:p>
    <w:p>
      <w:pPr>
        <w:pStyle w:val="Compact"/>
        <w:numPr>
          <w:ilvl w:val="0"/>
          <w:numId w:val="1008"/>
        </w:numPr>
      </w:pPr>
      <w:r>
        <w:rPr>
          <w:rStyle w:val="VerbatimChar"/>
        </w:rPr>
        <w:t xml:space="preserve">Power_Analysis_YvsO_DYvsDO.csv</w:t>
      </w:r>
    </w:p>
    <w:p>
      <w:pPr>
        <w:pStyle w:val="Compact"/>
        <w:numPr>
          <w:ilvl w:val="0"/>
          <w:numId w:val="1008"/>
        </w:numPr>
      </w:pPr>
      <w:r>
        <w:rPr>
          <w:rStyle w:val="VerbatimChar"/>
        </w:rPr>
        <w:t xml:space="preserve">Reviewer_VarianceEstimates.csv</w:t>
      </w:r>
      <w:r>
        <w:t xml:space="preserve">,</w:t>
      </w:r>
      <w:r>
        <w:t xml:space="preserve"> </w:t>
      </w:r>
      <w:r>
        <w:rPr>
          <w:rStyle w:val="VerbatimChar"/>
        </w:rPr>
        <w:t xml:space="preserve">Reviewer_EffectSizes.csv</w:t>
      </w:r>
      <w:r>
        <w:t xml:space="preserve">,</w:t>
      </w:r>
      <w:r>
        <w:t xml:space="preserve"> </w:t>
      </w:r>
      <w:r>
        <w:rPr>
          <w:rStyle w:val="VerbatimChar"/>
        </w:rPr>
        <w:t xml:space="preserve">Reviewer_PowerAnalysis.csv</w:t>
      </w:r>
    </w:p>
    <w:p>
      <w:r>
        <w:pict>
          <v:rect style="width:0;height:1.5pt" o:hralign="center" o:hrstd="t" o:hr="t"/>
        </w:pict>
      </w:r>
    </w:p>
    <w:bookmarkEnd w:id="45"/>
    <w:bookmarkEnd w:id="46"/>
    <w:bookmarkStart w:id="51" w:name="pca-with-variance-explained"/>
    <w:p>
      <w:pPr>
        <w:pStyle w:val="Heading2"/>
      </w:pPr>
      <w:r>
        <w:t xml:space="preserve">6. PCA with Variance Explained</w:t>
      </w:r>
    </w:p>
    <w:bookmarkStart w:id="47" w:name="reviewer-comment-4"/>
    <w:p>
      <w:pPr>
        <w:pStyle w:val="Heading3"/>
      </w:pPr>
      <w:r>
        <w:t xml:space="preserve">Reviewer Comment</w:t>
      </w:r>
    </w:p>
    <w:p>
      <w:pPr>
        <w:pStyle w:val="BlockText"/>
      </w:pPr>
      <w:r>
        <w:t xml:space="preserve">“Add variance explained (PC1 %, PC2 %) and include sample size in the legend”</w:t>
      </w:r>
    </w:p>
    <w:bookmarkEnd w:id="47"/>
    <w:bookmarkStart w:id="48" w:name="updated-pca-results"/>
    <w:p>
      <w:pPr>
        <w:pStyle w:val="Heading3"/>
      </w:pPr>
      <w:r>
        <w:t xml:space="preserve">Updated PCA Results</w:t>
      </w:r>
    </w:p>
    <w:tbl>
      <w:tblPr>
        <w:tblStyle w:val="Table"/>
        <w:tblW w:type="pct" w:w="5000"/>
        <w:tblLayout w:type="fixed"/>
        <w:tblLook w:firstRow="1" w:lastRow="0" w:firstColumn="0" w:lastColumn="0" w:noHBand="0" w:noVBand="0" w:val="0020"/>
      </w:tblPr>
      <w:tblGrid>
        <w:gridCol w:w="2160"/>
        <w:gridCol w:w="1620"/>
        <w:gridCol w:w="1620"/>
        <w:gridCol w:w="2520"/>
      </w:tblGrid>
      <w:tr>
        <w:trPr>
          <w:tblHeader w:val="on"/>
        </w:trPr>
        <w:tc>
          <w:tcPr/>
          <w:p>
            <w:pPr>
              <w:pStyle w:val="Compact"/>
            </w:pPr>
            <w:r>
              <w:t xml:space="preserve">Comparison</w:t>
            </w:r>
          </w:p>
        </w:tc>
        <w:tc>
          <w:tcPr/>
          <w:p>
            <w:pPr>
              <w:pStyle w:val="Compact"/>
            </w:pPr>
            <w:r>
              <w:t xml:space="preserve">PC1 (%)</w:t>
            </w:r>
          </w:p>
        </w:tc>
        <w:tc>
          <w:tcPr/>
          <w:p>
            <w:pPr>
              <w:pStyle w:val="Compact"/>
            </w:pPr>
            <w:r>
              <w:t xml:space="preserve">PC2 (%)</w:t>
            </w:r>
          </w:p>
        </w:tc>
        <w:tc>
          <w:tcPr/>
          <w:p>
            <w:pPr>
              <w:pStyle w:val="Compact"/>
            </w:pPr>
            <w:r>
              <w:t xml:space="preserve">Sample Sizes</w:t>
            </w:r>
          </w:p>
        </w:tc>
      </w:tr>
      <w:tr>
        <w:tc>
          <w:tcPr/>
          <w:p>
            <w:pPr>
              <w:pStyle w:val="Compact"/>
            </w:pPr>
            <w:r>
              <w:t xml:space="preserve">All Groups</w:t>
            </w:r>
          </w:p>
        </w:tc>
        <w:tc>
          <w:tcPr/>
          <w:p>
            <w:pPr>
              <w:pStyle w:val="Compact"/>
            </w:pPr>
            <w:r>
              <w:t xml:space="preserve">44.2%</w:t>
            </w:r>
          </w:p>
        </w:tc>
        <w:tc>
          <w:tcPr/>
          <w:p>
            <w:pPr>
              <w:pStyle w:val="Compact"/>
            </w:pPr>
            <w:r>
              <w:t xml:space="preserve">14.6%</w:t>
            </w:r>
          </w:p>
        </w:tc>
        <w:tc>
          <w:tcPr/>
          <w:p>
            <w:pPr>
              <w:pStyle w:val="Compact"/>
            </w:pPr>
            <w:r>
              <w:t xml:space="preserve">Y(11), O(11), RAG1-/-(6), DY(16), DO(15)</w:t>
            </w:r>
          </w:p>
        </w:tc>
      </w:tr>
      <w:tr>
        <w:tc>
          <w:tcPr/>
          <w:p>
            <w:pPr>
              <w:pStyle w:val="Compact"/>
            </w:pPr>
            <w:r>
              <w:t xml:space="preserve">Experiment 1</w:t>
            </w:r>
          </w:p>
        </w:tc>
        <w:tc>
          <w:tcPr/>
          <w:p>
            <w:pPr>
              <w:pStyle w:val="Compact"/>
            </w:pPr>
            <w:r>
              <w:t xml:space="preserve">35.4%</w:t>
            </w:r>
          </w:p>
        </w:tc>
        <w:tc>
          <w:tcPr/>
          <w:p>
            <w:pPr>
              <w:pStyle w:val="Compact"/>
            </w:pPr>
            <w:r>
              <w:t xml:space="preserve">20.8%</w:t>
            </w:r>
          </w:p>
        </w:tc>
        <w:tc>
          <w:tcPr/>
          <w:p>
            <w:pPr>
              <w:pStyle w:val="Compact"/>
            </w:pPr>
            <w:r>
              <w:t xml:space="preserve">Y(11), RAG1-/-(6), DY(7)</w:t>
            </w:r>
          </w:p>
        </w:tc>
      </w:tr>
      <w:tr>
        <w:tc>
          <w:tcPr/>
          <w:p>
            <w:pPr>
              <w:pStyle w:val="Compact"/>
            </w:pPr>
            <w:r>
              <w:t xml:space="preserve">Young vs Old</w:t>
            </w:r>
          </w:p>
        </w:tc>
        <w:tc>
          <w:tcPr/>
          <w:p>
            <w:pPr>
              <w:pStyle w:val="Compact"/>
            </w:pPr>
            <w:r>
              <w:t xml:space="preserve">42.3%</w:t>
            </w:r>
          </w:p>
        </w:tc>
        <w:tc>
          <w:tcPr/>
          <w:p>
            <w:pPr>
              <w:pStyle w:val="Compact"/>
            </w:pPr>
            <w:r>
              <w:t xml:space="preserve">20.8%</w:t>
            </w:r>
          </w:p>
        </w:tc>
        <w:tc>
          <w:tcPr/>
          <w:p>
            <w:pPr>
              <w:pStyle w:val="Compact"/>
            </w:pPr>
            <w:r>
              <w:t xml:space="preserve">Y(11), O(11)</w:t>
            </w:r>
          </w:p>
        </w:tc>
      </w:tr>
      <w:tr>
        <w:tc>
          <w:tcPr/>
          <w:p>
            <w:pPr>
              <w:pStyle w:val="Compact"/>
            </w:pPr>
            <w:r>
              <w:t xml:space="preserve">DY vs DO</w:t>
            </w:r>
          </w:p>
        </w:tc>
        <w:tc>
          <w:tcPr/>
          <w:p>
            <w:pPr>
              <w:pStyle w:val="Compact"/>
            </w:pPr>
            <w:r>
              <w:t xml:space="preserve">46.1%</w:t>
            </w:r>
          </w:p>
        </w:tc>
        <w:tc>
          <w:tcPr/>
          <w:p>
            <w:pPr>
              <w:pStyle w:val="Compact"/>
            </w:pPr>
            <w:r>
              <w:t xml:space="preserve">22.8%</w:t>
            </w:r>
          </w:p>
        </w:tc>
        <w:tc>
          <w:tcPr/>
          <w:p>
            <w:pPr>
              <w:pStyle w:val="Compact"/>
            </w:pPr>
            <w:r>
              <w:t xml:space="preserve">DY(16), DO(15)</w:t>
            </w:r>
          </w:p>
        </w:tc>
      </w:tr>
    </w:tbl>
    <w:bookmarkEnd w:id="48"/>
    <w:bookmarkStart w:id="49" w:name="output-files-5"/>
    <w:p>
      <w:pPr>
        <w:pStyle w:val="Heading3"/>
      </w:pPr>
      <w:r>
        <w:t xml:space="preserve">Output Files</w:t>
      </w:r>
    </w:p>
    <w:p>
      <w:pPr>
        <w:pStyle w:val="Compact"/>
        <w:numPr>
          <w:ilvl w:val="0"/>
          <w:numId w:val="1009"/>
        </w:numPr>
      </w:pPr>
      <w:r>
        <w:rPr>
          <w:rStyle w:val="VerbatimChar"/>
        </w:rPr>
        <w:t xml:space="preserve">Reviewer_PCA_AllGroups_Improved.pdf</w:t>
      </w:r>
    </w:p>
    <w:p>
      <w:pPr>
        <w:pStyle w:val="Compact"/>
        <w:numPr>
          <w:ilvl w:val="0"/>
          <w:numId w:val="1009"/>
        </w:numPr>
      </w:pPr>
      <w:r>
        <w:rPr>
          <w:rStyle w:val="VerbatimChar"/>
        </w:rPr>
        <w:t xml:space="preserve">Reviewer_PCA_Exp1_Fig1A_Improved.pdf</w:t>
      </w:r>
    </w:p>
    <w:p>
      <w:pPr>
        <w:pStyle w:val="Compact"/>
        <w:numPr>
          <w:ilvl w:val="0"/>
          <w:numId w:val="1009"/>
        </w:numPr>
      </w:pPr>
      <w:r>
        <w:rPr>
          <w:rStyle w:val="VerbatimChar"/>
        </w:rPr>
        <w:t xml:space="preserve">Reviewer_PCA_Young_vs_Old_Improved.pdf</w:t>
      </w:r>
    </w:p>
    <w:p>
      <w:pPr>
        <w:pStyle w:val="Compact"/>
        <w:numPr>
          <w:ilvl w:val="0"/>
          <w:numId w:val="1009"/>
        </w:numPr>
      </w:pPr>
      <w:r>
        <w:rPr>
          <w:rStyle w:val="VerbatimChar"/>
        </w:rPr>
        <w:t xml:space="preserve">Reviewer_PCA_DY_vs_DO_Improved.pdf</w:t>
      </w:r>
    </w:p>
    <w:p>
      <w:pPr>
        <w:pStyle w:val="Compact"/>
        <w:numPr>
          <w:ilvl w:val="0"/>
          <w:numId w:val="1009"/>
        </w:numPr>
      </w:pPr>
      <w:r>
        <w:rPr>
          <w:rStyle w:val="VerbatimChar"/>
        </w:rPr>
        <w:t xml:space="preserve">Reviewer_PCA_VarianceExplained.csv</w:t>
      </w:r>
    </w:p>
    <w:bookmarkEnd w:id="49"/>
    <w:bookmarkStart w:id="50" w:name="suggested-figure-legend"/>
    <w:p>
      <w:pPr>
        <w:pStyle w:val="Heading3"/>
      </w:pPr>
      <w:r>
        <w:t xml:space="preserve">Suggested Figure Legend</w:t>
      </w:r>
    </w:p>
    <w:p>
      <w:pPr>
        <w:pStyle w:val="BlockText"/>
      </w:pPr>
      <w:r>
        <w:t xml:space="preserve">“Principal component analysis of microbial species composition. (A) All experimental groups. PC1 explains 44.2% and PC2 explains 14.6% of total variance. Sample sizes are indicated in the legend. Ellipses represent 95% confidence intervals. (B) DY vs DO comparison showing PC1 (46.1%) and PC2 (22.8%). Y: Young C57BL/6 (n=11); O: Old C57BL/6 (n=11); RAG1-/-: untransplanted RAG1-/- (n=6); DY: RAG1-/- transplanted with donor young HSCs (n=16); DO: RAG1-/- transplanted with donor old HSCs (n=15).”</w:t>
      </w:r>
    </w:p>
    <w:p>
      <w:r>
        <w:pict>
          <v:rect style="width:0;height:1.5pt" o:hralign="center" o:hrstd="t" o:hr="t"/>
        </w:pict>
      </w:r>
    </w:p>
    <w:bookmarkEnd w:id="50"/>
    <w:bookmarkEnd w:id="51"/>
    <w:bookmarkStart w:id="53" w:name="kraken-database-details"/>
    <w:p>
      <w:pPr>
        <w:pStyle w:val="Heading2"/>
      </w:pPr>
      <w:r>
        <w:t xml:space="preserve">7. Kraken Database Details</w:t>
      </w:r>
    </w:p>
    <w:bookmarkStart w:id="52" w:name="reviewer-comment-5"/>
    <w:p>
      <w:pPr>
        <w:pStyle w:val="Heading3"/>
      </w:pPr>
      <w:r>
        <w:t xml:space="preserve">Reviewer Comment</w:t>
      </w:r>
    </w:p>
    <w:p>
      <w:pPr>
        <w:pStyle w:val="BlockText"/>
      </w:pPr>
      <w:r>
        <w:t xml:space="preserve">“The Kraken database details (version, build date, taxonomic coverage) should be specified for reproducibility.”</w:t>
      </w:r>
    </w:p>
    <w:p>
      <w:pPr>
        <w:pStyle w:val="BlockText"/>
      </w:pPr>
      <w:r>
        <w:t xml:space="preserve">“Taxonomic classification was performed using Kraken2 (v2.1.2) with the standard Kraken2 database (built [DATE — please fill in], downloaded from https://benlangmead.github.io/aws-indexes/k2), which includes RefSeq complete bacterial, archaeal, and viral genomes, as well as the human genome (GRCh38) for host filtering. Species-level abundances were refined using Bracken (v2.6.2) with a read length of 150 bp and a classification threshold of 10 reads. Functional profiling of microbial pathways was performed using HUMAnN3 with the MetaCyc pathway database, and pathway abundances were normalized to counts per million (CPM).”</w:t>
      </w:r>
    </w:p>
    <w:p>
      <w:r>
        <w:pict>
          <v:rect style="width:0;height:1.5pt" o:hralign="center" o:hrstd="t" o:hr="t"/>
        </w:pict>
      </w:r>
    </w:p>
    <w:bookmarkEnd w:id="52"/>
    <w:bookmarkEnd w:id="53"/>
    <w:bookmarkStart w:id="56" w:name="summary-of-key-findings"/>
    <w:p>
      <w:pPr>
        <w:pStyle w:val="Heading2"/>
      </w:pPr>
      <w:r>
        <w:t xml:space="preserve">8. Summary of Key Findings</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Analysis</w:t>
            </w:r>
          </w:p>
        </w:tc>
        <w:tc>
          <w:tcPr/>
          <w:p>
            <w:pPr>
              <w:pStyle w:val="Compact"/>
            </w:pPr>
            <w:r>
              <w:t xml:space="preserve">Key Finding</w:t>
            </w:r>
          </w:p>
        </w:tc>
        <w:tc>
          <w:tcPr/>
          <w:p>
            <w:pPr>
              <w:pStyle w:val="Compact"/>
            </w:pPr>
            <w:r>
              <w:t xml:space="preserve">Implication</w:t>
            </w:r>
          </w:p>
        </w:tc>
      </w:tr>
      <w:tr>
        <w:tc>
          <w:tcPr/>
          <w:p>
            <w:pPr>
              <w:pStyle w:val="Compact"/>
            </w:pPr>
            <w:r>
              <w:rPr>
                <w:b/>
                <w:bCs/>
              </w:rPr>
              <w:t xml:space="preserve">Alpha diversity</w:t>
            </w:r>
          </w:p>
        </w:tc>
        <w:tc>
          <w:tcPr/>
          <w:p>
            <w:pPr>
              <w:pStyle w:val="Compact"/>
            </w:pPr>
            <w:r>
              <w:t xml:space="preserve">Transplanted groups (DY, DO) have lower richness than controls</w:t>
            </w:r>
          </w:p>
        </w:tc>
        <w:tc>
          <w:tcPr/>
          <w:p>
            <w:pPr>
              <w:pStyle w:val="Compact"/>
            </w:pPr>
            <w:r>
              <w:t xml:space="preserve">Transplantation/RAG1 background affects diversity</w:t>
            </w:r>
          </w:p>
        </w:tc>
      </w:tr>
      <w:tr>
        <w:tc>
          <w:tcPr/>
          <w:p>
            <w:pPr>
              <w:pStyle w:val="Compact"/>
            </w:pPr>
            <w:r>
              <w:rPr>
                <w:b/>
                <w:bCs/>
              </w:rPr>
              <w:t xml:space="preserve">Rarefaction curves</w:t>
            </w:r>
          </w:p>
        </w:tc>
        <w:tc>
          <w:tcPr/>
          <w:p>
            <w:pPr>
              <w:pStyle w:val="Compact"/>
            </w:pPr>
            <w:r>
              <w:t xml:space="preserve">All samples plateau</w:t>
            </w:r>
          </w:p>
        </w:tc>
        <w:tc>
          <w:tcPr/>
          <w:p>
            <w:pPr>
              <w:pStyle w:val="Compact"/>
            </w:pPr>
            <w:r>
              <w:t xml:space="preserve">Adequate sequencing depth confirmed</w:t>
            </w:r>
          </w:p>
        </w:tc>
      </w:tr>
      <w:tr>
        <w:tc>
          <w:tcPr/>
          <w:p>
            <w:pPr>
              <w:pStyle w:val="Compact"/>
            </w:pPr>
            <w:r>
              <w:rPr>
                <w:b/>
                <w:bCs/>
              </w:rPr>
              <w:t xml:space="preserve">B6 pathways (Y vs O)</w:t>
            </w:r>
          </w:p>
        </w:tc>
        <w:tc>
          <w:tcPr/>
          <w:p>
            <w:pPr>
              <w:pStyle w:val="Compact"/>
            </w:pPr>
            <w:r>
              <w:rPr>
                <w:b/>
                <w:bCs/>
              </w:rPr>
              <w:t xml:space="preserve">6-fold higher in Young</w:t>
            </w:r>
            <w:r>
              <w:t xml:space="preserve"> </w:t>
            </w:r>
            <w:r>
              <w:t xml:space="preserve">(multiple methods, FDR &lt; 0.05)</w:t>
            </w:r>
          </w:p>
        </w:tc>
        <w:tc>
          <w:tcPr/>
          <w:p>
            <w:pPr>
              <w:pStyle w:val="Compact"/>
            </w:pPr>
            <w:r>
              <w:t xml:space="preserve">Age-associated decline in B6 biosynthesis</w:t>
            </w:r>
          </w:p>
        </w:tc>
      </w:tr>
      <w:tr>
        <w:tc>
          <w:tcPr/>
          <w:p>
            <w:pPr>
              <w:pStyle w:val="Compact"/>
            </w:pPr>
            <w:r>
              <w:rPr>
                <w:b/>
                <w:bCs/>
              </w:rPr>
              <w:t xml:space="preserve">B6 pathways (DY vs DO)</w:t>
            </w:r>
          </w:p>
        </w:tc>
        <w:tc>
          <w:tcPr/>
          <w:p>
            <w:pPr>
              <w:pStyle w:val="Compact"/>
            </w:pPr>
            <w:r>
              <w:rPr>
                <w:b/>
                <w:bCs/>
              </w:rPr>
              <w:t xml:space="preserve">Significant in 4/5 methods after batch correction</w:t>
            </w:r>
          </w:p>
        </w:tc>
        <w:tc>
          <w:tcPr/>
          <w:p>
            <w:pPr>
              <w:pStyle w:val="Compact"/>
            </w:pPr>
            <w:r>
              <w:t xml:space="preserve">Young HSCs partially restore B6 biosynthesis</w:t>
            </w:r>
          </w:p>
        </w:tc>
      </w:tr>
      <w:tr>
        <w:tc>
          <w:tcPr/>
          <w:p>
            <w:pPr>
              <w:pStyle w:val="Compact"/>
            </w:pPr>
            <w:r>
              <w:rPr>
                <w:b/>
                <w:bCs/>
              </w:rPr>
              <w:t xml:space="preserve">Batch correction</w:t>
            </w:r>
          </w:p>
        </w:tc>
        <w:tc>
          <w:tcPr/>
          <w:p>
            <w:pPr>
              <w:pStyle w:val="Compact"/>
            </w:pPr>
            <w:r>
              <w:rPr>
                <w:b/>
                <w:bCs/>
              </w:rPr>
              <w:t xml:space="preserve">Strengthens B6 signal across all methods</w:t>
            </w:r>
          </w:p>
        </w:tc>
        <w:tc>
          <w:tcPr/>
          <w:p>
            <w:pPr>
              <w:pStyle w:val="Compact"/>
            </w:pPr>
            <w:r>
              <w:t xml:space="preserve">Batch was masking real biological signal</w:t>
            </w:r>
          </w:p>
        </w:tc>
      </w:tr>
      <w:tr>
        <w:tc>
          <w:tcPr/>
          <w:p>
            <w:pPr>
              <w:pStyle w:val="Compact"/>
            </w:pPr>
            <w:r>
              <w:rPr>
                <w:b/>
                <w:bCs/>
              </w:rPr>
              <w:t xml:space="preserve">DESeq2 (batch-corrected)</w:t>
            </w:r>
          </w:p>
        </w:tc>
        <w:tc>
          <w:tcPr/>
          <w:p>
            <w:pPr>
              <w:pStyle w:val="Compact"/>
            </w:pPr>
            <w:r>
              <w:t xml:space="preserve">12 pathways differ DY vs DO (FDR &lt; 0.1)</w:t>
            </w:r>
          </w:p>
        </w:tc>
        <w:tc>
          <w:tcPr/>
          <w:p>
            <w:pPr>
              <w:pStyle w:val="Compact"/>
            </w:pPr>
            <w:r>
              <w:t xml:space="preserve">Batch correction reveals additional signal</w:t>
            </w:r>
          </w:p>
        </w:tc>
      </w:tr>
      <w:tr>
        <w:tc>
          <w:tcPr/>
          <w:p>
            <w:pPr>
              <w:pStyle w:val="Compact"/>
            </w:pPr>
            <w:r>
              <w:rPr>
                <w:b/>
                <w:bCs/>
              </w:rPr>
              <w:t xml:space="preserve">Power analysis</w:t>
            </w:r>
          </w:p>
        </w:tc>
        <w:tc>
          <w:tcPr/>
          <w:p>
            <w:pPr>
              <w:pStyle w:val="Compact"/>
            </w:pPr>
            <w:r>
              <w:t xml:space="preserve">12% power for Y vs O; 91% for Y vs RAG1</w:t>
            </w:r>
          </w:p>
        </w:tc>
        <w:tc>
          <w:tcPr/>
          <w:p>
            <w:pPr>
              <w:pStyle w:val="Compact"/>
            </w:pPr>
            <w:r>
              <w:t xml:space="preserve">Adequately powered for large effects only</w:t>
            </w:r>
          </w:p>
        </w:tc>
      </w:tr>
    </w:tbl>
    <w:bookmarkStart w:id="54" w:name="strengths"/>
    <w:p>
      <w:pPr>
        <w:pStyle w:val="Heading3"/>
      </w:pPr>
      <w:r>
        <w:t xml:space="preserve">Strengths</w:t>
      </w:r>
    </w:p>
    <w:p>
      <w:pPr>
        <w:pStyle w:val="Compact"/>
        <w:numPr>
          <w:ilvl w:val="0"/>
          <w:numId w:val="1010"/>
        </w:numPr>
      </w:pPr>
      <w:r>
        <w:t xml:space="preserve">B6 pathway finding confirmed across 4/5 methods after batch correction (Wilcoxon, ALDEx2, MaAsLin2 significant; DESeq2 borderline at p=0.051)</w:t>
      </w:r>
    </w:p>
    <w:p>
      <w:pPr>
        <w:pStyle w:val="Compact"/>
        <w:numPr>
          <w:ilvl w:val="0"/>
          <w:numId w:val="1010"/>
        </w:numPr>
      </w:pPr>
      <w:r>
        <w:t xml:space="preserve">Consistent positive direction of B6 effect across all methods and comparisons</w:t>
      </w:r>
    </w:p>
    <w:p>
      <w:pPr>
        <w:pStyle w:val="Compact"/>
        <w:numPr>
          <w:ilvl w:val="0"/>
          <w:numId w:val="1010"/>
        </w:numPr>
      </w:pPr>
      <w:r>
        <w:t xml:space="preserve">Methodologically diverse approaches (non-parametric, compositional, linear model, negative binomial) all agree</w:t>
      </w:r>
    </w:p>
    <w:p>
      <w:pPr>
        <w:pStyle w:val="Compact"/>
        <w:numPr>
          <w:ilvl w:val="0"/>
          <w:numId w:val="1010"/>
        </w:numPr>
      </w:pPr>
      <w:r>
        <w:t xml:space="preserve">Batch correction approach is transparent and rigorous</w:t>
      </w:r>
    </w:p>
    <w:bookmarkEnd w:id="54"/>
    <w:bookmarkStart w:id="55" w:name="limitations"/>
    <w:p>
      <w:pPr>
        <w:pStyle w:val="Heading3"/>
      </w:pPr>
      <w:r>
        <w:t xml:space="preserve">Limitations</w:t>
      </w:r>
    </w:p>
    <w:p>
      <w:pPr>
        <w:pStyle w:val="Compact"/>
        <w:numPr>
          <w:ilvl w:val="0"/>
          <w:numId w:val="1011"/>
        </w:numPr>
      </w:pPr>
      <w:r>
        <w:t xml:space="preserve">Underpowered for subtle age effects (Y vs O, DY vs DO)</w:t>
      </w:r>
    </w:p>
    <w:p>
      <w:pPr>
        <w:pStyle w:val="Compact"/>
        <w:numPr>
          <w:ilvl w:val="0"/>
          <w:numId w:val="1011"/>
        </w:numPr>
      </w:pPr>
      <w:r>
        <w:t xml:space="preserve">Significant batch effects present (mitigated by explicit covariate modeling)</w:t>
      </w:r>
    </w:p>
    <w:p>
      <w:pPr>
        <w:pStyle w:val="Compact"/>
        <w:numPr>
          <w:ilvl w:val="0"/>
          <w:numId w:val="1011"/>
        </w:numPr>
      </w:pPr>
      <w:r>
        <w:t xml:space="preserve">No genome-wide FDR-significant B6 pathways (finding is targeted/a priori)</w:t>
      </w:r>
    </w:p>
    <w:p>
      <w:r>
        <w:pict>
          <v:rect style="width:0;height:1.5pt" o:hralign="center" o:hrstd="t" o:hr="t"/>
        </w:pict>
      </w:r>
    </w:p>
    <w:bookmarkEnd w:id="55"/>
    <w:bookmarkEnd w:id="56"/>
    <w:bookmarkStart w:id="59" w:name="suggested-reviewer-response-text"/>
    <w:p>
      <w:pPr>
        <w:pStyle w:val="Heading2"/>
      </w:pPr>
      <w:r>
        <w:t xml:space="preserve">9. Suggested Reviewer Response Text</w:t>
      </w:r>
    </w:p>
    <w:bookmarkStart w:id="57" w:name="response-to-reviewer-comment-4"/>
    <w:p>
      <w:pPr>
        <w:pStyle w:val="Heading3"/>
      </w:pPr>
      <w:r>
        <w:t xml:space="preserve">Response to Reviewer Comment 4</w:t>
      </w:r>
    </w:p>
    <w:p>
      <w:pPr>
        <w:pStyle w:val="BlockText"/>
      </w:pPr>
      <w:r>
        <w:rPr>
          <w:b/>
          <w:bCs/>
        </w:rPr>
        <w:t xml:space="preserve">Reviewer:</w:t>
      </w:r>
      <w:r>
        <w:t xml:space="preserve"> </w:t>
      </w:r>
      <w:r>
        <w:t xml:space="preserve">“Provide α-diversity metrics (Shannon, Simpson, Chao1) and rarefaction curves… pathway enrichment lacks multiple-testing correction. Reanalyze with DESeq2 or ALDEx2… Kraken database details should be specified.”</w:t>
      </w:r>
    </w:p>
    <w:p>
      <w:pPr>
        <w:pStyle w:val="FirstParagraph"/>
      </w:pPr>
      <w:r>
        <w:rPr>
          <w:b/>
          <w:bCs/>
        </w:rPr>
        <w:t xml:space="preserve">Response:</w:t>
      </w:r>
    </w:p>
    <w:p>
      <w:pPr>
        <w:pStyle w:val="BodyText"/>
      </w:pPr>
      <w:r>
        <w:t xml:space="preserve">We thank the reviewer for these constructive suggestions. We have now:</w:t>
      </w:r>
    </w:p>
    <w:p>
      <w:pPr>
        <w:numPr>
          <w:ilvl w:val="0"/>
          <w:numId w:val="1012"/>
        </w:numPr>
      </w:pPr>
      <w:r>
        <w:rPr>
          <w:b/>
          <w:bCs/>
        </w:rPr>
        <w:t xml:space="preserve">Added Chao1 richness estimator</w:t>
      </w:r>
      <w:r>
        <w:t xml:space="preserve"> </w:t>
      </w:r>
      <w:r>
        <w:t xml:space="preserve">alongside Shannon and Simpson indices (new Supplementary Figure X). Chao1 analysis revealed that transplanted groups (DY, DO) have significantly lower species richness compared to untransplanted controls (p &lt; 0.01, Bonferroni-corrected), suggesting that the transplantation procedure affects microbial diversity.</w:t>
      </w:r>
    </w:p>
    <w:p>
      <w:pPr>
        <w:numPr>
          <w:ilvl w:val="0"/>
          <w:numId w:val="1012"/>
        </w:numPr>
      </w:pPr>
      <w:r>
        <w:rPr>
          <w:b/>
          <w:bCs/>
        </w:rPr>
        <w:t xml:space="preserve">Generated rarefaction curves</w:t>
      </w:r>
      <w:r>
        <w:t xml:space="preserve"> </w:t>
      </w:r>
      <w:r>
        <w:t xml:space="preserve">(new Supplementary Figure Y) confirming that all samples reached a plateau before the rarefaction depth of 750,000 reads, indicating adequate sequencing depth.</w:t>
      </w:r>
    </w:p>
    <w:p>
      <w:pPr>
        <w:numPr>
          <w:ilvl w:val="0"/>
          <w:numId w:val="1012"/>
        </w:numPr>
      </w:pPr>
      <w:r>
        <w:rPr>
          <w:b/>
          <w:bCs/>
        </w:rPr>
        <w:t xml:space="preserve">Reanalyzed pathway data using ALDEx2, DESeq2, and MaAsLin2</w:t>
      </w:r>
      <w:r>
        <w:t xml:space="preserve"> </w:t>
      </w:r>
      <w:r>
        <w:t xml:space="preserve">with proper FDR correction and experimental batch as a covariate. After accounting for batch effects, four of five analytical methods found vitamin B6 biosynthesis pathways (PYRIDOXSYN-PWY and PWY0-845) nominally significant in DY vs DO (ALDEx2 GLM p = 0.003, MaAsLin2 p = 0.007 with FDR q = 0.020, Wilcoxon p = 0.024, DESeq2 p = 0.051 borderline). Full results with FDR-adjusted p-values are provided in Supplementary Tables X-Y.</w:t>
      </w:r>
    </w:p>
    <w:p>
      <w:pPr>
        <w:numPr>
          <w:ilvl w:val="0"/>
          <w:numId w:val="1012"/>
        </w:numPr>
      </w:pPr>
      <w:r>
        <w:rPr>
          <w:b/>
          <w:bCs/>
        </w:rPr>
        <w:t xml:space="preserve">Added Kraken database details</w:t>
      </w:r>
      <w:r>
        <w:t xml:space="preserve"> </w:t>
      </w:r>
      <w:r>
        <w:t xml:space="preserve">to the Methods section.</w:t>
      </w:r>
    </w:p>
    <w:bookmarkEnd w:id="57"/>
    <w:bookmarkStart w:id="58" w:name="response-to-reviewer-comment-6"/>
    <w:p>
      <w:pPr>
        <w:pStyle w:val="Heading3"/>
      </w:pPr>
      <w:r>
        <w:t xml:space="preserve">Response to Reviewer Comment 6</w:t>
      </w:r>
    </w:p>
    <w:p>
      <w:pPr>
        <w:pStyle w:val="BlockText"/>
      </w:pPr>
      <w:r>
        <w:rPr>
          <w:b/>
          <w:bCs/>
        </w:rPr>
        <w:t xml:space="preserve">Reviewer:</w:t>
      </w:r>
      <w:r>
        <w:t xml:space="preserve"> </w:t>
      </w:r>
      <w:r>
        <w:t xml:space="preserve">“Some comparisons (n = 6 per group) are underpowered… Provide a power analysis or variance estimates… Clearly state how batch effects were addressed.”</w:t>
      </w:r>
    </w:p>
    <w:p>
      <w:pPr>
        <w:pStyle w:val="FirstParagraph"/>
      </w:pPr>
      <w:r>
        <w:rPr>
          <w:b/>
          <w:bCs/>
        </w:rPr>
        <w:t xml:space="preserve">Response:</w:t>
      </w:r>
    </w:p>
    <w:p>
      <w:pPr>
        <w:pStyle w:val="BodyText"/>
      </w:pPr>
      <w:r>
        <w:t xml:space="preserve">We appreciate the reviewer’s attention to statistical rigor. We have now:</w:t>
      </w:r>
    </w:p>
    <w:p>
      <w:pPr>
        <w:numPr>
          <w:ilvl w:val="0"/>
          <w:numId w:val="1013"/>
        </w:numPr>
      </w:pPr>
      <w:r>
        <w:rPr>
          <w:b/>
          <w:bCs/>
        </w:rPr>
        <w:t xml:space="preserve">Performed post-hoc power analysis</w:t>
      </w:r>
      <w:r>
        <w:t xml:space="preserve"> </w:t>
      </w:r>
      <w:r>
        <w:t xml:space="preserve">(new Supplementary Table X). With our sample sizes, the study achieved &gt;80% power to detect large effect sizes (Cohen’s d &gt; 0.8). The Y vs RAG1-/- comparison (d = 1.77) achieved 91% power. For subtler age-related effects (d ~ 0.35), we acknowledge reduced power (12%).</w:t>
      </w:r>
    </w:p>
    <w:p>
      <w:pPr>
        <w:numPr>
          <w:ilvl w:val="0"/>
          <w:numId w:val="1013"/>
        </w:numPr>
      </w:pPr>
      <w:r>
        <w:rPr>
          <w:b/>
          <w:bCs/>
        </w:rPr>
        <w:t xml:space="preserve">Calculated variance estimates</w:t>
      </w:r>
      <w:r>
        <w:t xml:space="preserve"> </w:t>
      </w:r>
      <w:r>
        <w:t xml:space="preserve">by group (new Supplementary Table Y). Transplanted groups showed higher variance (CV = 29-36%) compared to controls (CV = 5-14%), reflecting biological heterogeneity in microbiome reconstitution.</w:t>
      </w:r>
    </w:p>
    <w:p>
      <w:pPr>
        <w:numPr>
          <w:ilvl w:val="0"/>
          <w:numId w:val="1013"/>
        </w:numPr>
      </w:pPr>
      <w:r>
        <w:rPr>
          <w:b/>
          <w:bCs/>
        </w:rPr>
        <w:t xml:space="preserve">Assessed and corrected for batch effects</w:t>
      </w:r>
      <w:r>
        <w:t xml:space="preserve"> </w:t>
      </w:r>
      <w:r>
        <w:t xml:space="preserve">using PERMANOVA and explicit covariate modeling. Biological groups explained 55% of total variance, while within-group batch effects accounted for 60-78% of variance. Rather than applying global correction methods (e.g., ComBat), which can remove biological signal in partially confounded designs, we included experimental batch as a covariate in all multivariable models (ALDEx2 GLM, DESeq2, MaAsLin2). This approach significantly improved detection of the vitamin B6 pathway signal in DY vs DO, with 4 of 5 methods now showing nominal significance and MaAsLin2 achieving FDR-corrected significance (q = 0.020 and 0.030).</w:t>
      </w:r>
    </w:p>
    <w:p>
      <w:pPr>
        <w:numPr>
          <w:ilvl w:val="0"/>
          <w:numId w:val="1013"/>
        </w:numPr>
      </w:pPr>
      <w:r>
        <w:rPr>
          <w:b/>
          <w:bCs/>
        </w:rPr>
        <w:t xml:space="preserve">Updated all PCA figures</w:t>
      </w:r>
      <w:r>
        <w:t xml:space="preserve"> </w:t>
      </w:r>
      <w:r>
        <w:t xml:space="preserve">to include variance explained on axes and sample sizes in legends.</w:t>
      </w:r>
    </w:p>
    <w:p>
      <w:r>
        <w:pict>
          <v:rect style="width:0;height:1.5pt" o:hralign="center" o:hrstd="t" o:hr="t"/>
        </w:pict>
      </w:r>
    </w:p>
    <w:bookmarkEnd w:id="58"/>
    <w:bookmarkEnd w:id="59"/>
    <w:bookmarkStart w:id="65" w:name="suggested-methods-materials-text"/>
    <w:p>
      <w:pPr>
        <w:pStyle w:val="Heading2"/>
      </w:pPr>
      <w:r>
        <w:t xml:space="preserve">10. Suggested Methods &amp; Materials Text</w:t>
      </w:r>
    </w:p>
    <w:bookmarkStart w:id="60" w:name="alpha-diversity-and-rarefaction"/>
    <w:p>
      <w:pPr>
        <w:pStyle w:val="Heading3"/>
      </w:pPr>
      <w:r>
        <w:t xml:space="preserve">Alpha Diversity and Rarefaction</w:t>
      </w:r>
    </w:p>
    <w:p>
      <w:pPr>
        <w:pStyle w:val="BlockText"/>
      </w:pPr>
      <w:r>
        <w:t xml:space="preserve">Alpha diversity was assessed using three complementary metrics: Shannon index (accounting for richness and evenness), Simpson index (probability of interspecific encounter), and Chao1 richness estimator (estimated total species richness including unobserved species), all calculated with the vegan package (v2.7-2) in R. Rarefaction curves were generated at sequencing depths from 10,000 to 750,000 reads (in increments of 30,000) using the rarefy() function in vegan to confirm adequate sequencing depth for capturing community diversity. Pairwise comparisons of alpha diversity metrics between groups were performed using Wilcoxon rank-sum tests.</w:t>
      </w:r>
    </w:p>
    <w:bookmarkEnd w:id="60"/>
    <w:bookmarkStart w:id="61" w:name="pathway-differential-abundance"/>
    <w:p>
      <w:pPr>
        <w:pStyle w:val="Heading3"/>
      </w:pPr>
      <w:r>
        <w:t xml:space="preserve">Pathway Differential Abundance</w:t>
      </w:r>
    </w:p>
    <w:p>
      <w:pPr>
        <w:pStyle w:val="BlockText"/>
      </w:pPr>
      <w:r>
        <w:t xml:space="preserve">Differential pathway abundance was assessed using multiple complementary approaches with explicit batch correction. ALDEx2 (v1.40.0) was used as the primary compositionally-aware method, employing centered log-ratio (CLR) transformation with 128 Monte Carlo instances; batch-corrected results were obtained using aldex.glm() with a model matrix incorporating experimental batch (~ Experiment + Groups). MaAsLin2 (v1.18.0; Mallick et al., 2021) was used as a validation method, employing linear models on log-transformed CPM-normalized pathway abundances with Benjamini-Hochberg FDR correction and experimental batch as a fixed-effect covariate. DESeq2 (v1.48.2) was additionally applied using negative binomial modeling with the design formula ~ Experiment + Groups. Uncorrected Wilcoxon rank-sum tests from the original analysis are also reported for comparison. Based on prior literature linking vitamin B6 metabolism to immune function (Ueland et al., 2017), HSC biology, and aging-associated decline (Janssen et al., 2021), we performed a targeted analysis of B6-related pathways as an a priori hypothesis.</w:t>
      </w:r>
    </w:p>
    <w:bookmarkEnd w:id="61"/>
    <w:bookmarkStart w:id="62" w:name="batch-effects"/>
    <w:p>
      <w:pPr>
        <w:pStyle w:val="Heading3"/>
      </w:pPr>
      <w:r>
        <w:t xml:space="preserve">Batch Effects</w:t>
      </w:r>
    </w:p>
    <w:p>
      <w:pPr>
        <w:pStyle w:val="BlockText"/>
      </w:pPr>
      <w:r>
        <w:t xml:space="preserve">Samples were collected across three experimental time points spanning months to years, necessitated by the technical demands of bone marrow transplantation experiments. Batch effects were assessed using PERMANOVA on Bray-Curtis distances; biological group membership explained 54.8% of total variance (p = 0.001), while within-group batch effects accounted for 60–78% of intra-group variance. Rather than applying global batch correction (e.g., ComBat), which risks removing biological signal in partially confounded designs, experimental batch was included as a covariate in all differential abundance models (ALDEx2 GLM, DESeq2, MaAsLin2). This approach directly accounts for batch-associated variance while preserving genuine biological differences. The consistency of vitamin B6 pathway findings across batch-corrected and uncorrected analyses, using compositional (ALDEx2), linear model (MaAsLin2), non-parametric (Wilcoxon), and negative binomial (DESeq2) frameworks, supports the robustness of these conclusions.</w:t>
      </w:r>
    </w:p>
    <w:bookmarkEnd w:id="62"/>
    <w:bookmarkStart w:id="63" w:name="power-analysis"/>
    <w:p>
      <w:pPr>
        <w:pStyle w:val="Heading3"/>
      </w:pPr>
      <w:r>
        <w:t xml:space="preserve">Power Analysis</w:t>
      </w:r>
    </w:p>
    <w:p>
      <w:pPr>
        <w:pStyle w:val="BlockText"/>
      </w:pPr>
      <w:r>
        <w:t xml:space="preserve">Post-hoc power analysis was performed using the pwr package in R to estimate achieved statistical power for primary between-group comparisons. Cohen’s d effect sizes were calculated from observed Shannon diversity, Simpson diversity, and Chao1 richness data. Achieved power was estimated using a two-sample t-test framework at α = 0.05. Sample size requirements for 80% power at the observed effect sizes are reported.</w:t>
      </w:r>
    </w:p>
    <w:bookmarkEnd w:id="63"/>
    <w:bookmarkStart w:id="64" w:name="kraken-database"/>
    <w:p>
      <w:pPr>
        <w:pStyle w:val="Heading3"/>
      </w:pPr>
      <w:r>
        <w:t xml:space="preserve">Kraken Database</w:t>
      </w:r>
    </w:p>
    <w:p>
      <w:pPr>
        <w:pStyle w:val="BlockText"/>
      </w:pPr>
      <w:r>
        <w:t xml:space="preserve">Taxonomic classification was performed using Kraken2 (v2.1.2) with the standard Kraken2 database (built [DATE — please fill in], downloaded from https://benlangmead.github.io/aws-indexes/k2), which includes RefSeq complete bacterial, archaeal, and viral genomes, as well as the human genome (GRCh38) for host filtering. Species-level abundances were refined using Bracken (v2.6.2) with a read length of 150 bp and a classification threshold of 10 reads. Functional profiling of microbial pathways was performed using HUMAnN3 with the MetaCyc pathway database, and pathway abundances were normalized to counts per million (CPM).</w:t>
      </w:r>
    </w:p>
    <w:p>
      <w:r>
        <w:pict>
          <v:rect style="width:0;height:1.5pt" o:hralign="center" o:hrstd="t" o:hr="t"/>
        </w:pict>
      </w:r>
    </w:p>
    <w:bookmarkEnd w:id="64"/>
    <w:bookmarkEnd w:id="65"/>
    <w:bookmarkStart w:id="66" w:name="suggested-discussion-text"/>
    <w:p>
      <w:pPr>
        <w:pStyle w:val="Heading2"/>
      </w:pPr>
      <w:r>
        <w:t xml:space="preserve">11. Suggested Discussion Text</w:t>
      </w:r>
    </w:p>
    <w:p>
      <w:pPr>
        <w:pStyle w:val="BlockText"/>
      </w:pPr>
      <w:r>
        <w:t xml:space="preserve">A limitation of this study is the reduced statistical power for detecting subtle age-related effects. The technically demanding nature of bone marrow transplantation experiments—requiring irradiation, HSC isolation, transplantation, and extended monitoring—constrained achievable sample sizes and necessitated data collection across multiple experimental time points spanning months to years. Post-hoc power analysis revealed that comparisons between age groups within the same genetic background (Y vs O, d = 0.35) achieved only 12% power with our sample sizes. However, several observations demonstrate that the key findings are nonetheless robust: (1) the study was well-powered (91%) for detecting differences between genetic backgrounds (Y vs RAG1-/-), validating the experimental design; (2) significant age-associated differences in vitamin B6 biosynthesis pathways were detected despite limited power (MaAsLin2 q &lt; 0.05 for Y vs O), indicating these effects are biologically substantial; and (3) the B6 pathway finding in DY vs DO was confirmed across multiple analytical methods after accounting for batch effects (nominally significant in 4 of 5 methods; MaAsLin2 q = 0.020–0.030), demonstrating that this is a genuine biological signal rather than an artifact. Future studies with larger cohorts would be valuable to identify additional pathways with smaller effect sizes.</w:t>
      </w:r>
    </w:p>
    <w:p>
      <w:r>
        <w:pict>
          <v:rect style="width:0;height:1.5pt" o:hralign="center" o:hrstd="t" o:hr="t"/>
        </w:pict>
      </w:r>
    </w:p>
    <w:bookmarkEnd w:id="66"/>
    <w:bookmarkStart w:id="70" w:name="complete-file-inventory"/>
    <w:p>
      <w:pPr>
        <w:pStyle w:val="Heading2"/>
      </w:pPr>
      <w:r>
        <w:t xml:space="preserve">12. Complete File Inventory</w:t>
      </w:r>
    </w:p>
    <w:p>
      <w:pPr>
        <w:pStyle w:val="FirstParagraph"/>
      </w:pPr>
      <w:r>
        <w:t xml:space="preserve">All files are in</w:t>
      </w:r>
      <w:r>
        <w:t xml:space="preserve"> </w:t>
      </w:r>
      <w:r>
        <w:rPr>
          <w:rStyle w:val="VerbatimChar"/>
        </w:rPr>
        <w:t xml:space="preserve">response_to_reviewers/</w:t>
      </w:r>
      <w:r>
        <w:t xml:space="preserve">.</w:t>
      </w:r>
    </w:p>
    <w:bookmarkStart w:id="67" w:name="figures-for-manuscriptsupplement"/>
    <w:p>
      <w:pPr>
        <w:pStyle w:val="Heading3"/>
      </w:pPr>
      <w:r>
        <w:t xml:space="preserve">Figures (for manuscript/supplement)</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Alpha_Diversity_Y_DY_RAG1.tif</w:t>
            </w:r>
          </w:p>
        </w:tc>
        <w:tc>
          <w:tcPr/>
          <w:p>
            <w:pPr>
              <w:pStyle w:val="Compact"/>
            </w:pPr>
            <w:r>
              <w:t xml:space="preserve">Alpha diversity panel: Y vs DY vs RAG1-/- (publication TIF)</w:t>
            </w:r>
          </w:p>
        </w:tc>
      </w:tr>
      <w:tr>
        <w:tc>
          <w:tcPr/>
          <w:p>
            <w:pPr>
              <w:pStyle w:val="Compact"/>
            </w:pPr>
            <w:r>
              <w:rPr>
                <w:rStyle w:val="VerbatimChar"/>
              </w:rPr>
              <w:t xml:space="preserve">Alpha_Diversity_Y_vs_O.tif</w:t>
            </w:r>
          </w:p>
        </w:tc>
        <w:tc>
          <w:tcPr/>
          <w:p>
            <w:pPr>
              <w:pStyle w:val="Compact"/>
            </w:pPr>
            <w:r>
              <w:t xml:space="preserve">Alpha diversity panel: Y vs O (publication TIF)</w:t>
            </w:r>
          </w:p>
        </w:tc>
      </w:tr>
      <w:tr>
        <w:tc>
          <w:tcPr/>
          <w:p>
            <w:pPr>
              <w:pStyle w:val="Compact"/>
            </w:pPr>
            <w:r>
              <w:rPr>
                <w:rStyle w:val="VerbatimChar"/>
              </w:rPr>
              <w:t xml:space="preserve">Alpha_Diversity_DY_vs_DO.tif</w:t>
            </w:r>
          </w:p>
        </w:tc>
        <w:tc>
          <w:tcPr/>
          <w:p>
            <w:pPr>
              <w:pStyle w:val="Compact"/>
            </w:pPr>
            <w:r>
              <w:t xml:space="preserve">Alpha diversity panel: DY vs DO (publication TIF)</w:t>
            </w:r>
          </w:p>
        </w:tc>
      </w:tr>
      <w:tr>
        <w:tc>
          <w:tcPr/>
          <w:p>
            <w:pPr>
              <w:pStyle w:val="Compact"/>
            </w:pPr>
            <w:r>
              <w:rPr>
                <w:rStyle w:val="VerbatimChar"/>
              </w:rPr>
              <w:t xml:space="preserve">Rarefaction_Curves.tif</w:t>
            </w:r>
          </w:p>
        </w:tc>
        <w:tc>
          <w:tcPr/>
          <w:p>
            <w:pPr>
              <w:pStyle w:val="Compact"/>
            </w:pPr>
            <w:r>
              <w:t xml:space="preserve">Rarefaction curves, all groups (publication TIF)</w:t>
            </w:r>
          </w:p>
        </w:tc>
      </w:tr>
      <w:tr>
        <w:tc>
          <w:tcPr/>
          <w:p>
            <w:pPr>
              <w:pStyle w:val="Compact"/>
            </w:pPr>
            <w:r>
              <w:rPr>
                <w:rStyle w:val="VerbatimChar"/>
              </w:rPr>
              <w:t xml:space="preserve">Reviewer_PCA_AllGroups_Improved.pdf</w:t>
            </w:r>
          </w:p>
        </w:tc>
        <w:tc>
          <w:tcPr/>
          <w:p>
            <w:pPr>
              <w:pStyle w:val="Compact"/>
            </w:pPr>
            <w:r>
              <w:t xml:space="preserve">PCA: all groups with variance explained</w:t>
            </w:r>
          </w:p>
        </w:tc>
      </w:tr>
      <w:tr>
        <w:tc>
          <w:tcPr/>
          <w:p>
            <w:pPr>
              <w:pStyle w:val="Compact"/>
            </w:pPr>
            <w:r>
              <w:rPr>
                <w:rStyle w:val="VerbatimChar"/>
              </w:rPr>
              <w:t xml:space="preserve">Reviewer_PCA_Exp1_Fig1A_Improved.pdf</w:t>
            </w:r>
          </w:p>
        </w:tc>
        <w:tc>
          <w:tcPr/>
          <w:p>
            <w:pPr>
              <w:pStyle w:val="Compact"/>
            </w:pPr>
            <w:r>
              <w:t xml:space="preserve">PCA: Experiment 1 (Fig 1A replacement)</w:t>
            </w:r>
          </w:p>
        </w:tc>
      </w:tr>
      <w:tr>
        <w:tc>
          <w:tcPr/>
          <w:p>
            <w:pPr>
              <w:pStyle w:val="Compact"/>
            </w:pPr>
            <w:r>
              <w:rPr>
                <w:rStyle w:val="VerbatimChar"/>
              </w:rPr>
              <w:t xml:space="preserve">Reviewer_PCA_Young_vs_Old_Improved.pdf</w:t>
            </w:r>
          </w:p>
        </w:tc>
        <w:tc>
          <w:tcPr/>
          <w:p>
            <w:pPr>
              <w:pStyle w:val="Compact"/>
            </w:pPr>
            <w:r>
              <w:t xml:space="preserve">PCA: Y vs O</w:t>
            </w:r>
          </w:p>
        </w:tc>
      </w:tr>
      <w:tr>
        <w:tc>
          <w:tcPr/>
          <w:p>
            <w:pPr>
              <w:pStyle w:val="Compact"/>
            </w:pPr>
            <w:r>
              <w:rPr>
                <w:rStyle w:val="VerbatimChar"/>
              </w:rPr>
              <w:t xml:space="preserve">Reviewer_PCA_DY_vs_DO_Improved.pdf</w:t>
            </w:r>
          </w:p>
        </w:tc>
        <w:tc>
          <w:tcPr/>
          <w:p>
            <w:pPr>
              <w:pStyle w:val="Compact"/>
            </w:pPr>
            <w:r>
              <w:t xml:space="preserve">PCA: DY vs DO</w:t>
            </w:r>
          </w:p>
        </w:tc>
      </w:tr>
      <w:tr>
        <w:tc>
          <w:tcPr/>
          <w:p>
            <w:pPr>
              <w:pStyle w:val="Compact"/>
            </w:pPr>
            <w:r>
              <w:rPr>
                <w:rStyle w:val="VerbatimChar"/>
              </w:rPr>
              <w:t xml:space="preserve">VitaminB6_Pathway_Abundance.pdf</w:t>
            </w:r>
          </w:p>
        </w:tc>
        <w:tc>
          <w:tcPr/>
          <w:p>
            <w:pPr>
              <w:pStyle w:val="Compact"/>
            </w:pPr>
            <w:r>
              <w:t xml:space="preserve">B6 pathway abundance by group</w:t>
            </w:r>
          </w:p>
        </w:tc>
      </w:tr>
      <w:tr>
        <w:tc>
          <w:tcPr/>
          <w:p>
            <w:pPr>
              <w:pStyle w:val="Compact"/>
            </w:pPr>
            <w:r>
              <w:rPr>
                <w:rStyle w:val="VerbatimChar"/>
              </w:rPr>
              <w:t xml:space="preserve">VitaminB6_Producers_Total.pdf</w:t>
            </w:r>
          </w:p>
        </w:tc>
        <w:tc>
          <w:tcPr/>
          <w:p>
            <w:pPr>
              <w:pStyle w:val="Compact"/>
            </w:pPr>
            <w:r>
              <w:t xml:space="preserve">B6-producing taxa</w:t>
            </w:r>
          </w:p>
        </w:tc>
      </w:tr>
      <w:tr>
        <w:tc>
          <w:tcPr/>
          <w:p>
            <w:pPr>
              <w:pStyle w:val="Compact"/>
            </w:pPr>
            <w:r>
              <w:rPr>
                <w:rStyle w:val="VerbatimChar"/>
              </w:rPr>
              <w:t xml:space="preserve">DESeq2_B6_Pathways_Barplot.pdf</w:t>
            </w:r>
          </w:p>
        </w:tc>
        <w:tc>
          <w:tcPr/>
          <w:p>
            <w:pPr>
              <w:pStyle w:val="Compact"/>
            </w:pPr>
            <w:r>
              <w:t xml:space="preserve">B6 pathway log2FC barplot</w:t>
            </w:r>
          </w:p>
        </w:tc>
      </w:tr>
      <w:tr>
        <w:tc>
          <w:tcPr/>
          <w:p>
            <w:pPr>
              <w:pStyle w:val="Compact"/>
            </w:pPr>
            <w:r>
              <w:rPr>
                <w:rStyle w:val="VerbatimChar"/>
              </w:rPr>
              <w:t xml:space="preserve">ALDEx2_Pathways_DY_vs_DO_Effect_Plot.pdf</w:t>
            </w:r>
          </w:p>
        </w:tc>
        <w:tc>
          <w:tcPr/>
          <w:p>
            <w:pPr>
              <w:pStyle w:val="Compact"/>
            </w:pPr>
            <w:r>
              <w:t xml:space="preserve">ALDEx2 effect sizes</w:t>
            </w:r>
          </w:p>
        </w:tc>
      </w:tr>
      <w:tr>
        <w:tc>
          <w:tcPr/>
          <w:p>
            <w:pPr>
              <w:pStyle w:val="Compact"/>
            </w:pPr>
            <w:r>
              <w:rPr>
                <w:rStyle w:val="VerbatimChar"/>
              </w:rPr>
              <w:t xml:space="preserve">ALDEx2_Pathways_DY_vs_DO_Volcano.pdf</w:t>
            </w:r>
          </w:p>
        </w:tc>
        <w:tc>
          <w:tcPr/>
          <w:p>
            <w:pPr>
              <w:pStyle w:val="Compact"/>
            </w:pPr>
            <w:r>
              <w:t xml:space="preserve">ALDEx2 volcano plot</w:t>
            </w:r>
          </w:p>
        </w:tc>
      </w:tr>
      <w:tr>
        <w:tc>
          <w:tcPr/>
          <w:p>
            <w:pPr>
              <w:pStyle w:val="Compact"/>
            </w:pPr>
            <w:r>
              <w:rPr>
                <w:rStyle w:val="VerbatimChar"/>
              </w:rPr>
              <w:t xml:space="preserve">DESeq2_Pathways_DY_vs_DO_Volcano.pdf</w:t>
            </w:r>
          </w:p>
        </w:tc>
        <w:tc>
          <w:tcPr/>
          <w:p>
            <w:pPr>
              <w:pStyle w:val="Compact"/>
            </w:pPr>
            <w:r>
              <w:t xml:space="preserve">DESeq2 volcano plot</w:t>
            </w:r>
          </w:p>
        </w:tc>
      </w:tr>
      <w:tr>
        <w:tc>
          <w:tcPr/>
          <w:p>
            <w:pPr>
              <w:pStyle w:val="Compact"/>
            </w:pPr>
            <w:r>
              <w:rPr>
                <w:rStyle w:val="VerbatimChar"/>
              </w:rPr>
              <w:t xml:space="preserve">Reviewer_BatchEffect_PCA.pdf</w:t>
            </w:r>
          </w:p>
        </w:tc>
        <w:tc>
          <w:tcPr/>
          <w:p>
            <w:pPr>
              <w:pStyle w:val="Compact"/>
            </w:pPr>
            <w:r>
              <w:t xml:space="preserve">PCA colored by batch</w:t>
            </w:r>
          </w:p>
        </w:tc>
      </w:tr>
    </w:tbl>
    <w:bookmarkEnd w:id="67"/>
    <w:bookmarkStart w:id="68" w:name="key-tables-csv"/>
    <w:p>
      <w:pPr>
        <w:pStyle w:val="Heading3"/>
      </w:pPr>
      <w:r>
        <w:t xml:space="preserve">Key Tables (CSV)</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B6_CrossMethod_Comparison_BatchEffect.csv</w:t>
            </w:r>
          </w:p>
        </w:tc>
        <w:tc>
          <w:tcPr/>
          <w:p>
            <w:pPr>
              <w:pStyle w:val="Compact"/>
            </w:pPr>
            <w:r>
              <w:rPr>
                <w:b/>
                <w:bCs/>
              </w:rPr>
              <w:t xml:space="preserve">Headline result</w:t>
            </w:r>
            <w:r>
              <w:t xml:space="preserve">: cross-method B6 comparison ± batch correction</w:t>
            </w:r>
          </w:p>
        </w:tc>
      </w:tr>
      <w:tr>
        <w:tc>
          <w:tcPr/>
          <w:p>
            <w:pPr>
              <w:pStyle w:val="Compact"/>
            </w:pPr>
            <w:r>
              <w:rPr>
                <w:rStyle w:val="VerbatimChar"/>
              </w:rPr>
              <w:t xml:space="preserve">Alpha_Diversity_Statistics.csv</w:t>
            </w:r>
          </w:p>
        </w:tc>
        <w:tc>
          <w:tcPr/>
          <w:p>
            <w:pPr>
              <w:pStyle w:val="Compact"/>
            </w:pPr>
            <w:r>
              <w:t xml:space="preserve">All alpha diversity statistical comparisons</w:t>
            </w:r>
          </w:p>
        </w:tc>
      </w:tr>
      <w:tr>
        <w:tc>
          <w:tcPr/>
          <w:p>
            <w:pPr>
              <w:pStyle w:val="Compact"/>
            </w:pPr>
            <w:r>
              <w:rPr>
                <w:rStyle w:val="VerbatimChar"/>
              </w:rPr>
              <w:t xml:space="preserve">Power_Analysis_YvsO_DYvsDO.csv</w:t>
            </w:r>
          </w:p>
        </w:tc>
        <w:tc>
          <w:tcPr/>
          <w:p>
            <w:pPr>
              <w:pStyle w:val="Compact"/>
            </w:pPr>
            <w:r>
              <w:t xml:space="preserve">Power analysis results</w:t>
            </w:r>
          </w:p>
        </w:tc>
      </w:tr>
      <w:tr>
        <w:tc>
          <w:tcPr/>
          <w:p>
            <w:pPr>
              <w:pStyle w:val="Compact"/>
            </w:pPr>
            <w:r>
              <w:rPr>
                <w:rStyle w:val="VerbatimChar"/>
              </w:rPr>
              <w:t xml:space="preserve">Reviewer_PERMANOVA_BatchEffects.csv</w:t>
            </w:r>
          </w:p>
        </w:tc>
        <w:tc>
          <w:tcPr/>
          <w:p>
            <w:pPr>
              <w:pStyle w:val="Compact"/>
            </w:pPr>
            <w:r>
              <w:t xml:space="preserve">PERMANOVA batch effect results</w:t>
            </w:r>
          </w:p>
        </w:tc>
      </w:tr>
    </w:tbl>
    <w:bookmarkEnd w:id="68"/>
    <w:bookmarkStart w:id="69" w:name="summary-document"/>
    <w:p>
      <w:pPr>
        <w:pStyle w:val="Heading3"/>
      </w:pPr>
      <w:r>
        <w:t xml:space="preserve">Summary Document</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Reviewer_Response_Summary.docx</w:t>
            </w:r>
          </w:p>
        </w:tc>
        <w:tc>
          <w:tcPr/>
          <w:p>
            <w:pPr>
              <w:pStyle w:val="Compact"/>
            </w:pPr>
            <w:r>
              <w:t xml:space="preserve">This document (Word format for Hartmut)</w:t>
            </w:r>
          </w:p>
        </w:tc>
      </w:tr>
    </w:tbl>
    <w:p>
      <w:r>
        <w:pict>
          <v:rect style="width:0;height:1.5pt" o:hralign="center" o:hrstd="t" o:hr="t"/>
        </w:pict>
      </w:r>
    </w:p>
    <w:bookmarkEnd w:id="69"/>
    <w:bookmarkEnd w:id="70"/>
    <w:bookmarkStart w:id="71" w:name="analysis-scripts"/>
    <w:p>
      <w:pPr>
        <w:pStyle w:val="Heading2"/>
      </w:pPr>
      <w:r>
        <w:t xml:space="preserve">13. Analysis Scripts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Script</w:t>
            </w:r>
          </w:p>
        </w:tc>
        <w:tc>
          <w:tcPr/>
          <w:p>
            <w:pPr>
              <w:pStyle w:val="Compact"/>
            </w:pPr>
            <w:r>
              <w:t xml:space="preserve">Purpose</w:t>
            </w:r>
          </w:p>
        </w:tc>
      </w:tr>
      <w:tr>
        <w:tc>
          <w:tcPr/>
          <w:p>
            <w:pPr>
              <w:pStyle w:val="Compact"/>
            </w:pPr>
            <w:r>
              <w:rPr>
                <w:rStyle w:val="VerbatimChar"/>
              </w:rPr>
              <w:t xml:space="preserve">ReviewerRevisions_AlphaDiversity_Feb2026.R</w:t>
            </w:r>
          </w:p>
        </w:tc>
        <w:tc>
          <w:tcPr/>
          <w:p>
            <w:pPr>
              <w:pStyle w:val="Compact"/>
            </w:pPr>
            <w:r>
              <w:t xml:space="preserve">Alpha diversity plots, rarefaction TIF, power analysis</w:t>
            </w:r>
          </w:p>
        </w:tc>
      </w:tr>
      <w:tr>
        <w:tc>
          <w:tcPr/>
          <w:p>
            <w:pPr>
              <w:pStyle w:val="Compact"/>
            </w:pPr>
            <w:r>
              <w:rPr>
                <w:rStyle w:val="VerbatimChar"/>
              </w:rPr>
              <w:t xml:space="preserve">MaAsLin2_Pathway_Analysis.R</w:t>
            </w:r>
          </w:p>
        </w:tc>
        <w:tc>
          <w:tcPr/>
          <w:p>
            <w:pPr>
              <w:pStyle w:val="Compact"/>
            </w:pPr>
            <w:r>
              <w:t xml:space="preserve">MaAsLin2 pathway analysis with batch correction</w:t>
            </w:r>
          </w:p>
        </w:tc>
      </w:tr>
      <w:tr>
        <w:tc>
          <w:tcPr/>
          <w:p>
            <w:pPr>
              <w:pStyle w:val="Compact"/>
            </w:pPr>
            <w:r>
              <w:rPr>
                <w:rStyle w:val="VerbatimChar"/>
              </w:rPr>
              <w:t xml:space="preserve">BatchCorrected_ALDEx2_DESeq2.R</w:t>
            </w:r>
          </w:p>
        </w:tc>
        <w:tc>
          <w:tcPr/>
          <w:p>
            <w:pPr>
              <w:pStyle w:val="Compact"/>
            </w:pPr>
            <w:r>
              <w:t xml:space="preserve">ALDEx2 GLM and DESeq2 with batch as covariate</w:t>
            </w:r>
          </w:p>
        </w:tc>
      </w:tr>
      <w:tr>
        <w:tc>
          <w:tcPr/>
          <w:p>
            <w:pPr>
              <w:pStyle w:val="Compact"/>
            </w:pPr>
            <w:r>
              <w:rPr>
                <w:rStyle w:val="VerbatimChar"/>
              </w:rPr>
              <w:t xml:space="preserve">ALDEx2_Pathway_Analysis.R</w:t>
            </w:r>
          </w:p>
        </w:tc>
        <w:tc>
          <w:tcPr/>
          <w:p>
            <w:pPr>
              <w:pStyle w:val="Compact"/>
            </w:pPr>
            <w:r>
              <w:t xml:space="preserve">Original ALDEx2 analysis (Dec 2025)</w:t>
            </w:r>
          </w:p>
        </w:tc>
      </w:tr>
      <w:tr>
        <w:tc>
          <w:tcPr/>
          <w:p>
            <w:pPr>
              <w:pStyle w:val="Compact"/>
            </w:pPr>
            <w:r>
              <w:rPr>
                <w:rStyle w:val="VerbatimChar"/>
              </w:rPr>
              <w:t xml:space="preserve">DESeq2_and_TargetedB6_Analysis.R</w:t>
            </w:r>
          </w:p>
        </w:tc>
        <w:tc>
          <w:tcPr/>
          <w:p>
            <w:pPr>
              <w:pStyle w:val="Compact"/>
            </w:pPr>
            <w:r>
              <w:t xml:space="preserve">Original DESeq2 + targeted B6 analysis (Dec 2025)</w:t>
            </w:r>
          </w:p>
        </w:tc>
      </w:tr>
      <w:tr>
        <w:tc>
          <w:tcPr/>
          <w:p>
            <w:pPr>
              <w:pStyle w:val="Compact"/>
            </w:pPr>
            <w:r>
              <w:rPr>
                <w:rStyle w:val="VerbatimChar"/>
              </w:rPr>
              <w:t xml:space="preserve">VitaminB6_Analysis.R</w:t>
            </w:r>
          </w:p>
        </w:tc>
        <w:tc>
          <w:tcPr/>
          <w:p>
            <w:pPr>
              <w:pStyle w:val="Compact"/>
            </w:pPr>
            <w:r>
              <w:t xml:space="preserve">Vitamin B6 species-level analysis</w:t>
            </w:r>
          </w:p>
        </w:tc>
      </w:tr>
      <w:tr>
        <w:tc>
          <w:tcPr/>
          <w:p>
            <w:pPr>
              <w:pStyle w:val="Compact"/>
            </w:pPr>
            <w:r>
              <w:rPr>
                <w:rStyle w:val="VerbatimChar"/>
              </w:rPr>
              <w:t xml:space="preserve">ReviewerRevisions_20251225.R</w:t>
            </w:r>
          </w:p>
        </w:tc>
        <w:tc>
          <w:tcPr/>
          <w:p>
            <w:pPr>
              <w:pStyle w:val="Compact"/>
            </w:pPr>
            <w:r>
              <w:t xml:space="preserve">Original reviewer revision analyses (Dec 2025)</w:t>
            </w:r>
          </w:p>
        </w:tc>
      </w:tr>
    </w:tbl>
    <w:p>
      <w:r>
        <w:pict>
          <v:rect style="width:0;height:1.5pt" o:hralign="center" o:hrstd="t" o:hr="t"/>
        </w:pict>
      </w:r>
    </w:p>
    <w:p>
      <w:pPr>
        <w:pStyle w:val="FirstParagraph"/>
      </w:pPr>
      <w:r>
        <w:rPr>
          <w:i/>
          <w:iCs/>
        </w:rPr>
        <w:t xml:space="preserve">Document consolidated: February 16, 2026</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2026-02-16T19:12:30Z</dcterms:created>
  <dcterms:modified xsi:type="dcterms:W3CDTF">2026-02-16T19:12:30Z</dcterms:modified>
</cp:coreProperties>
</file>

<file path=docProps/custom.xml><?xml version="1.0" encoding="utf-8"?>
<Properties xmlns="http://schemas.openxmlformats.org/officeDocument/2006/custom-properties" xmlns:vt="http://schemas.openxmlformats.org/officeDocument/2006/docPropsVTypes"/>
</file>