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ALDEx2 GLM Results for Vitamin B6 Pathways</w:t>
      </w:r>
    </w:p>
    <w:p>
      <w:pPr>
        <w:pStyle w:val="Heading2"/>
      </w:pPr>
      <w:r>
        <w:t>For Supplementary Figure: Log2 Fold Change Plots</w:t>
      </w:r>
    </w:p>
    <w:p>
      <w:r>
        <w:t>Below are the ALDEx2 GLM results for the two vitamin B6 biosynthesis pathways (PYRIDOXSYN-PWY and PWY0-845) for both the Y vs O and DY vs DO comparisons. Both analyses use ALDEx2 GLM with batch correction (model: ~ Experiment + Groups), providing consistent output columns (Estimate, SE, p-value) suitable for generating log2FC bar plots with error bars.</w:t>
      </w:r>
    </w:p>
    <w:p>
      <w:pPr>
        <w:pStyle w:val="Heading2"/>
      </w:pPr>
      <w:r>
        <w:t>Method</w:t>
      </w:r>
    </w:p>
    <w:p>
      <w:r>
        <w:t>ALDEx2 performs centered log-ratio (CLR) transformation on the count data using 128 Monte Carlo Dirichlet instances, then fits a generalized linear model (GLM) to each pathway. The model formula is:</w:t>
      </w:r>
    </w:p>
    <w:p>
      <w:pPr>
        <w:jc w:val="center"/>
      </w:pPr>
      <w:r>
        <w:rPr>
          <w:b/>
          <w:sz w:val="24"/>
        </w:rPr>
        <w:t>~ Experiment + Groups</w:t>
      </w:r>
    </w:p>
    <w:p>
      <w:r>
        <w:t>where Experiment accounts for batch effects and Groups tests the biological comparison (Y vs O or DY vs DO). The reference level is O (for Y vs O) or DO (for DY vs DO), so positive estimates indicate higher abundance in Young/Donor-Young.</w:t>
      </w:r>
    </w:p>
    <w:p>
      <w:pPr>
        <w:pStyle w:val="Heading2"/>
      </w:pPr>
      <w:r>
        <w:t>Column Descriptions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Estimate_CLR</w:t>
            </w:r>
          </w:p>
        </w:tc>
        <w:tc>
          <w:tcPr>
            <w:tcW w:type="dxa" w:w="4320"/>
          </w:tcPr>
          <w:p>
            <w:r>
              <w:t>GLM coefficient for the group effect, on the CLR (log2) scale. Equivalent to log2 fold change. Positive = higher in Y (or DY).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</w:t>
            </w:r>
          </w:p>
        </w:tc>
        <w:tc>
          <w:tcPr>
            <w:tcW w:type="dxa" w:w="4320"/>
          </w:tcPr>
          <w:p>
            <w:r>
              <w:t>Standard error of the GLM coefficient. Use for error bars on bar plots.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t.val</w:t>
            </w:r>
          </w:p>
        </w:tc>
        <w:tc>
          <w:tcPr>
            <w:tcW w:type="dxa" w:w="4320"/>
          </w:tcPr>
          <w:p>
            <w:r>
              <w:t>T-statistic (Estimate / SE).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pval</w:t>
            </w:r>
          </w:p>
        </w:tc>
        <w:tc>
          <w:tcPr>
            <w:tcW w:type="dxa" w:w="4320"/>
          </w:tcPr>
          <w:p>
            <w:r>
              <w:t>Nominal p-value from the GLM.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pval_BH</w:t>
            </w:r>
          </w:p>
        </w:tc>
        <w:tc>
          <w:tcPr>
            <w:tcW w:type="dxa" w:w="4320"/>
          </w:tcPr>
          <w:p>
            <w:r>
              <w:t>Benjamini-Hochberg FDR-adjusted p-value (genome-wide across all pathways).</w:t>
            </w:r>
          </w:p>
        </w:tc>
      </w:tr>
    </w:tbl>
    <w:p/>
    <w:p>
      <w:pPr>
        <w:pStyle w:val="Heading2"/>
      </w:pPr>
      <w:r>
        <w:t>Table 1: ALDEx2 GLM — Young (Y) vs Old (O), Batch-Corrected</w:t>
      </w:r>
    </w:p>
    <w:p>
      <w:r>
        <w:t>Model: ~ Experiment + Groups (reference = O). Y and O samples span batches 1 and 3 (6+5 per group). Both pathways are nominally significant.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Pathway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Estimate</w:t>
              <w:br/>
              <w:t>(log2FC)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t-value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p-value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q-value</w:t>
              <w:br/>
              <w:t>(BH FDR)</w:t>
            </w:r>
          </w:p>
        </w:tc>
      </w:tr>
      <w:tr>
        <w:tc>
          <w:tcPr>
            <w:tcW w:type="dxa" w:w="1440"/>
          </w:tcPr>
          <w:p>
            <w:r>
              <w:t>PWY0-845</w:t>
            </w:r>
          </w:p>
        </w:tc>
        <w:tc>
          <w:tcPr>
            <w:tcW w:type="dxa" w:w="1440"/>
          </w:tcPr>
          <w:p>
            <w:r>
              <w:t>8.575</w:t>
            </w:r>
          </w:p>
        </w:tc>
        <w:tc>
          <w:tcPr>
            <w:tcW w:type="dxa" w:w="1440"/>
          </w:tcPr>
          <w:p>
            <w:r>
              <w:t>2.015</w:t>
            </w:r>
          </w:p>
        </w:tc>
        <w:tc>
          <w:tcPr>
            <w:tcW w:type="dxa" w:w="1440"/>
          </w:tcPr>
          <w:p>
            <w:r>
              <w:t>4.357</w:t>
            </w:r>
          </w:p>
        </w:tc>
        <w:tc>
          <w:tcPr>
            <w:tcW w:type="dxa" w:w="1440"/>
          </w:tcPr>
          <w:p>
            <w:r>
              <w:t>0.0020</w:t>
            </w:r>
          </w:p>
        </w:tc>
        <w:tc>
          <w:tcPr>
            <w:tcW w:type="dxa" w:w="1440"/>
          </w:tcPr>
          <w:p>
            <w:r>
              <w:t>0.322</w:t>
            </w:r>
          </w:p>
        </w:tc>
      </w:tr>
      <w:tr>
        <w:tc>
          <w:tcPr>
            <w:tcW w:type="dxa" w:w="1440"/>
          </w:tcPr>
          <w:p>
            <w:r>
              <w:t>PYRIDOXSYN-PWY</w:t>
            </w:r>
          </w:p>
        </w:tc>
        <w:tc>
          <w:tcPr>
            <w:tcW w:type="dxa" w:w="1440"/>
          </w:tcPr>
          <w:p>
            <w:r>
              <w:t>6.574</w:t>
            </w:r>
          </w:p>
        </w:tc>
        <w:tc>
          <w:tcPr>
            <w:tcW w:type="dxa" w:w="1440"/>
          </w:tcPr>
          <w:p>
            <w:r>
              <w:t>2.371</w:t>
            </w:r>
          </w:p>
        </w:tc>
        <w:tc>
          <w:tcPr>
            <w:tcW w:type="dxa" w:w="1440"/>
          </w:tcPr>
          <w:p>
            <w:r>
              <w:t>2.818</w:t>
            </w:r>
          </w:p>
        </w:tc>
        <w:tc>
          <w:tcPr>
            <w:tcW w:type="dxa" w:w="1440"/>
          </w:tcPr>
          <w:p>
            <w:r>
              <w:t>0.0214</w:t>
            </w:r>
          </w:p>
        </w:tc>
        <w:tc>
          <w:tcPr>
            <w:tcW w:type="dxa" w:w="1440"/>
          </w:tcPr>
          <w:p>
            <w:r>
              <w:t>0.971</w:t>
            </w:r>
          </w:p>
        </w:tc>
      </w:tr>
    </w:tbl>
    <w:p/>
    <w:p>
      <w:pPr>
        <w:pStyle w:val="Heading2"/>
      </w:pPr>
      <w:r>
        <w:t>Table 2: ALDEx2 GLM — Donor Young (DY) vs Donor Old (DO), Batch-Corrected</w:t>
      </w:r>
    </w:p>
    <w:p>
      <w:r>
        <w:t>Model: ~ Experiment + Groups (reference = DO). Both pathways are nominally significant.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Pathway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Estimate</w:t>
              <w:br/>
              <w:t>(log2FC)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t-value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p-value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q-value</w:t>
              <w:br/>
              <w:t>(BH FDR)</w:t>
            </w:r>
          </w:p>
        </w:tc>
      </w:tr>
      <w:tr>
        <w:tc>
          <w:tcPr>
            <w:tcW w:type="dxa" w:w="1440"/>
          </w:tcPr>
          <w:p>
            <w:r>
              <w:t>PWY0-845</w:t>
            </w:r>
          </w:p>
        </w:tc>
        <w:tc>
          <w:tcPr>
            <w:tcW w:type="dxa" w:w="1440"/>
          </w:tcPr>
          <w:p>
            <w:r>
              <w:t>6.878</w:t>
            </w:r>
          </w:p>
        </w:tc>
        <w:tc>
          <w:tcPr>
            <w:tcW w:type="dxa" w:w="1440"/>
          </w:tcPr>
          <w:p>
            <w:r>
              <w:t>1.921</w:t>
            </w:r>
          </w:p>
        </w:tc>
        <w:tc>
          <w:tcPr>
            <w:tcW w:type="dxa" w:w="1440"/>
          </w:tcPr>
          <w:p>
            <w:r>
              <w:t>3.600</w:t>
            </w:r>
          </w:p>
        </w:tc>
        <w:tc>
          <w:tcPr>
            <w:tcW w:type="dxa" w:w="1440"/>
          </w:tcPr>
          <w:p>
            <w:r>
              <w:t>0.0022</w:t>
            </w:r>
          </w:p>
        </w:tc>
        <w:tc>
          <w:tcPr>
            <w:tcW w:type="dxa" w:w="1440"/>
          </w:tcPr>
          <w:p>
            <w:r>
              <w:t>0.548</w:t>
            </w:r>
          </w:p>
        </w:tc>
      </w:tr>
      <w:tr>
        <w:tc>
          <w:tcPr>
            <w:tcW w:type="dxa" w:w="1440"/>
          </w:tcPr>
          <w:p>
            <w:r>
              <w:t>PYRIDOXSYN-PWY</w:t>
            </w:r>
          </w:p>
        </w:tc>
        <w:tc>
          <w:tcPr>
            <w:tcW w:type="dxa" w:w="1440"/>
          </w:tcPr>
          <w:p>
            <w:r>
              <w:t>6.789</w:t>
            </w:r>
          </w:p>
        </w:tc>
        <w:tc>
          <w:tcPr>
            <w:tcW w:type="dxa" w:w="1440"/>
          </w:tcPr>
          <w:p>
            <w:r>
              <w:t>1.887</w:t>
            </w:r>
          </w:p>
        </w:tc>
        <w:tc>
          <w:tcPr>
            <w:tcW w:type="dxa" w:w="1440"/>
          </w:tcPr>
          <w:p>
            <w:r>
              <w:t>3.634</w:t>
            </w:r>
          </w:p>
        </w:tc>
        <w:tc>
          <w:tcPr>
            <w:tcW w:type="dxa" w:w="1440"/>
          </w:tcPr>
          <w:p>
            <w:r>
              <w:t>0.0027</w:t>
            </w:r>
          </w:p>
        </w:tc>
        <w:tc>
          <w:tcPr>
            <w:tcW w:type="dxa" w:w="1440"/>
          </w:tcPr>
          <w:p>
            <w:r>
              <w:t>0.522</w:t>
            </w:r>
          </w:p>
        </w:tc>
      </w:tr>
    </w:tbl>
    <w:p/>
    <w:p>
      <w:pPr>
        <w:pStyle w:val="Heading2"/>
      </w:pPr>
      <w:r>
        <w:t>Notes for Plotting</w:t>
      </w:r>
    </w:p>
    <w:p>
      <w:pPr>
        <w:pStyle w:val="ListBullet"/>
      </w:pPr>
      <w:r>
        <w:t>For log2FC bar plots: use Estimate_CLR as the bar height for both comparisons. Values are on the log2 scale (CLR-transformed) and directly comparable between the two comparisons.</w:t>
      </w:r>
    </w:p>
    <w:p>
      <w:pPr>
        <w:pStyle w:val="ListBullet"/>
      </w:pPr>
      <w:r>
        <w:t>For error bars: use the SE column directly. These are proper GLM standard errors from both comparisons, providing a consistent representation.</w:t>
      </w:r>
    </w:p>
    <w:p>
      <w:pPr>
        <w:pStyle w:val="ListBullet"/>
      </w:pPr>
      <w:r>
        <w:t>Significance: both pathways are nominally significant (p &lt; 0.05) in both comparisons. Genome-wide FDR-corrected q-values do not reach 0.05, which is expected given the large number of pathways tested (~417). See the separate FDR report for details.</w:t>
      </w:r>
    </w:p>
    <w:p>
      <w:pPr>
        <w:pStyle w:val="ListBullet"/>
      </w:pPr>
      <w:r>
        <w:t>Both models include batch correction (Experiment as covariate). The Y vs O comparison spans batches 1 and 3; the DY vs DO comparison spans batches 1, 2, and 3.</w:t>
      </w:r>
    </w:p>
    <w:p>
      <w:pPr>
        <w:pStyle w:val="Heading2"/>
      </w:pPr>
      <w:r>
        <w:t>Attached Source Files</w:t>
      </w:r>
    </w:p>
    <w:p>
      <w:r>
        <w:t>The following CSV files contain the B6 pathway results:</w:t>
      </w:r>
    </w:p>
    <w:p>
      <w:pPr>
        <w:pStyle w:val="ListBullet"/>
      </w:pPr>
      <w:r>
        <w:rPr>
          <w:b/>
        </w:rPr>
        <w:t>ALDEx2_B6_Pathways_Y_vs_O_GLM.csv</w:t>
      </w:r>
      <w:r>
        <w:t xml:space="preserve"> — ALDEx2 GLM results for Y vs O, batch-corrected (B6 pathways, with SE)</w:t>
      </w:r>
    </w:p>
    <w:p>
      <w:pPr>
        <w:pStyle w:val="ListBullet"/>
      </w:pPr>
      <w:r>
        <w:rPr>
          <w:b/>
        </w:rPr>
        <w:t>ALDEx2_B6_Pathways_DY_vs_DO_GLM_BatchCorrected.csv</w:t>
      </w:r>
      <w:r>
        <w:t xml:space="preserve"> — ALDEx2 GLM results for DY vs DO, batch-corrected (B6 pathways, with SE)</w:t>
      </w:r>
    </w:p>
    <w:p/>
    <w:p>
      <w:r>
        <w:t>Full genome-wide results for all pathways (for reference):</w:t>
      </w:r>
    </w:p>
    <w:p>
      <w:pPr>
        <w:pStyle w:val="ListBullet"/>
      </w:pPr>
      <w:r>
        <w:rPr>
          <w:b/>
        </w:rPr>
        <w:t>ALDEx2_Pathways_Y_vs_O_GLM_Full.csv</w:t>
      </w:r>
      <w:r>
        <w:t xml:space="preserve"> — All 417 pathways, Y vs O GLM</w:t>
      </w:r>
    </w:p>
    <w:p>
      <w:pPr>
        <w:pStyle w:val="ListBullet"/>
      </w:pPr>
      <w:r>
        <w:rPr>
          <w:b/>
        </w:rPr>
        <w:t>ALDEx2_Pathways_DY_vs_DO_BatchCorrected_Full.csv</w:t>
      </w:r>
      <w:r>
        <w:t xml:space="preserve"> — All pathways, DY vs DO GLM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