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4758582724a4c8c5d6e4be399d0a67d673f7bd5"/>
    <w:p>
      <w:pPr>
        <w:pStyle w:val="Heading1"/>
      </w:pPr>
      <w:r>
        <w:t xml:space="preserve">Reviewer Response: Additional Analyses for Stem Cell Aging Microbiome Study</w:t>
      </w:r>
    </w:p>
    <w:p>
      <w:pPr>
        <w:pStyle w:val="FirstParagraph"/>
      </w:pPr>
      <w:r>
        <w:rPr>
          <w:b/>
          <w:bCs/>
        </w:rPr>
        <w:t xml:space="preserve">Date:</w:t>
      </w:r>
      <w:r>
        <w:t xml:space="preserve"> </w:t>
      </w:r>
      <w:r>
        <w:t xml:space="preserve">December 25, 2025</w:t>
      </w:r>
      <w:r>
        <w:t xml:space="preserve"> </w:t>
      </w:r>
      <w:r>
        <w:rPr>
          <w:b/>
          <w:bCs/>
        </w:rPr>
        <w:t xml:space="preserve">Document Purpose:</w:t>
      </w:r>
      <w:r>
        <w:t xml:space="preserve"> </w:t>
      </w:r>
      <w:r>
        <w:t xml:space="preserve">Summary of additional analyses performed in response to reviewer comments, with suggested manuscript text.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b37b064ee25d28e0d3d08cce74b05a14005ae2">
        <w:r>
          <w:rPr>
            <w:rStyle w:val="Hyperlink"/>
          </w:rPr>
          <w:t xml:space="preserve">Alpha Diversity Metrics (Chao1) and Rarefaction Curves</w:t>
        </w:r>
      </w:hyperlink>
    </w:p>
    <w:p>
      <w:pPr>
        <w:pStyle w:val="Compact"/>
        <w:numPr>
          <w:ilvl w:val="0"/>
          <w:numId w:val="1001"/>
        </w:numPr>
      </w:pPr>
      <w:hyperlink w:anchor="X99a685f3dba0d20f6d9af07695756d68b98e37e">
        <w:r>
          <w:rPr>
            <w:rStyle w:val="Hyperlink"/>
          </w:rPr>
          <w:t xml:space="preserve">ALDEx2 and DESeq2 Pathway Analysis with FDR Correction</w:t>
        </w:r>
      </w:hyperlink>
    </w:p>
    <w:p>
      <w:pPr>
        <w:pStyle w:val="Compact"/>
        <w:numPr>
          <w:ilvl w:val="0"/>
          <w:numId w:val="1001"/>
        </w:numPr>
      </w:pPr>
      <w:hyperlink w:anchor="Xfd32b67d89522e7f3197d8d33861c357b60be9d">
        <w:r>
          <w:rPr>
            <w:rStyle w:val="Hyperlink"/>
          </w:rPr>
          <w:t xml:space="preserve">Targeted Vitamin B6 Pathway Analysis</w:t>
        </w:r>
      </w:hyperlink>
    </w:p>
    <w:p>
      <w:pPr>
        <w:pStyle w:val="Compact"/>
        <w:numPr>
          <w:ilvl w:val="0"/>
          <w:numId w:val="1001"/>
        </w:numPr>
      </w:pPr>
      <w:hyperlink w:anchor="X6c5cf674b77727cbec83371ab9ada667744b221">
        <w:r>
          <w:rPr>
            <w:rStyle w:val="Hyperlink"/>
          </w:rPr>
          <w:t xml:space="preserve">Power Analysis and Sample Size Justification</w:t>
        </w:r>
      </w:hyperlink>
    </w:p>
    <w:p>
      <w:pPr>
        <w:pStyle w:val="Compact"/>
        <w:numPr>
          <w:ilvl w:val="0"/>
          <w:numId w:val="1001"/>
        </w:numPr>
      </w:pPr>
      <w:hyperlink w:anchor="X76713696de214e6e04210a0f3f6b9cf7a38ce87">
        <w:r>
          <w:rPr>
            <w:rStyle w:val="Hyperlink"/>
          </w:rPr>
          <w:t xml:space="preserve">Batch Effect Assessment</w:t>
        </w:r>
      </w:hyperlink>
    </w:p>
    <w:p>
      <w:pPr>
        <w:pStyle w:val="Compact"/>
        <w:numPr>
          <w:ilvl w:val="0"/>
          <w:numId w:val="1001"/>
        </w:numPr>
      </w:pPr>
      <w:hyperlink w:anchor="Xd29508c687a4d3b3de0d1f628c79f96076045d6">
        <w:r>
          <w:rPr>
            <w:rStyle w:val="Hyperlink"/>
          </w:rPr>
          <w:t xml:space="preserve">PCA with Variance Explained</w:t>
        </w:r>
      </w:hyperlink>
    </w:p>
    <w:p>
      <w:pPr>
        <w:pStyle w:val="Compact"/>
        <w:numPr>
          <w:ilvl w:val="0"/>
          <w:numId w:val="1001"/>
        </w:numPr>
      </w:pPr>
      <w:hyperlink w:anchor="X4df5f2ae231e1504d2406b700a3e311898ab9a5">
        <w:r>
          <w:rPr>
            <w:rStyle w:val="Hyperlink"/>
          </w:rPr>
          <w:t xml:space="preserve">Kraken Database Details</w:t>
        </w:r>
      </w:hyperlink>
    </w:p>
    <w:p>
      <w:pPr>
        <w:pStyle w:val="Compact"/>
        <w:numPr>
          <w:ilvl w:val="0"/>
          <w:numId w:val="1001"/>
        </w:numPr>
      </w:pPr>
      <w:hyperlink w:anchor="Xdc5b6cc2f76ab34bf2b8fb1e2abeb878a71e7fe">
        <w:r>
          <w:rPr>
            <w:rStyle w:val="Hyperlink"/>
          </w:rPr>
          <w:t xml:space="preserve">Summary of Key Findings</w:t>
        </w:r>
      </w:hyperlink>
    </w:p>
    <w:p>
      <w:pPr>
        <w:pStyle w:val="Compact"/>
        <w:numPr>
          <w:ilvl w:val="0"/>
          <w:numId w:val="1001"/>
        </w:numPr>
      </w:pPr>
      <w:hyperlink w:anchor="Xd3dc6d9df6a904e8e8b1ee56e0e113a932f44b0">
        <w:r>
          <w:rPr>
            <w:rStyle w:val="Hyperlink"/>
          </w:rPr>
          <w:t xml:space="preserve">Suggested Reviewer Response Text</w:t>
        </w:r>
      </w:hyperlink>
    </w:p>
    <w:p>
      <w:r>
        <w:pict>
          <v:rect style="width:0;height:1.5pt" o:hralign="center" o:hrstd="t" o:hr="t"/>
        </w:pict>
      </w:r>
    </w:p>
    <w:bookmarkEnd w:id="9"/>
    <w:bookmarkStart w:id="18" w:name="X50f676fbdf9f94e8e67aeda01b3204d0f2bf73a"/>
    <w:p>
      <w:pPr>
        <w:pStyle w:val="Heading2"/>
      </w:pPr>
      <w:r>
        <w:t xml:space="preserve">1. Alpha Diversity Metrics and Rarefaction Curves</w:t>
      </w:r>
    </w:p>
    <w:bookmarkStart w:id="10" w:name="reviewer-comment"/>
    <w:p>
      <w:pPr>
        <w:pStyle w:val="Heading3"/>
      </w:pPr>
      <w:r>
        <w:t xml:space="preserve">Reviewer Comment</w:t>
      </w:r>
    </w:p>
    <w:p>
      <w:pPr>
        <w:pStyle w:val="BlockText"/>
      </w:pPr>
      <w:r>
        <w:t xml:space="preserve">“Provide α-diversity metrics (Shannon, Simpson, Chao1) and rarefaction curves to complement PCoA and Bray-Curtis analyses”</w:t>
      </w:r>
    </w:p>
    <w:bookmarkEnd w:id="10"/>
    <w:bookmarkStart w:id="11" w:name="analysis-performed"/>
    <w:p>
      <w:pPr>
        <w:pStyle w:val="Heading3"/>
      </w:pPr>
      <w:r>
        <w:t xml:space="preserve">Analysis Performed</w:t>
      </w:r>
    </w:p>
    <w:p>
      <w:pPr>
        <w:pStyle w:val="FirstParagraph"/>
      </w:pPr>
      <w:r>
        <w:t xml:space="preserve">We calculated three complementary alpha diversity metrics:</w:t>
      </w:r>
      <w:r>
        <w:t xml:space="preserve"> </w:t>
      </w:r>
      <w:r>
        <w:t xml:space="preserve">-</w:t>
      </w:r>
      <w:r>
        <w:t xml:space="preserve"> </w:t>
      </w:r>
      <w:r>
        <w:rPr>
          <w:b/>
          <w:bCs/>
        </w:rPr>
        <w:t xml:space="preserve">Shannon Index</w:t>
      </w:r>
      <w:r>
        <w:t xml:space="preserve">: Accounts for both richness and evenness</w:t>
      </w:r>
      <w:r>
        <w:t xml:space="preserve"> </w:t>
      </w:r>
      <w:r>
        <w:t xml:space="preserve">-</w:t>
      </w:r>
      <w:r>
        <w:t xml:space="preserve"> </w:t>
      </w:r>
      <w:r>
        <w:rPr>
          <w:b/>
          <w:bCs/>
        </w:rPr>
        <w:t xml:space="preserve">Simpson Index</w:t>
      </w:r>
      <w:r>
        <w:t xml:space="preserve">: Probability that two randomly selected individuals belong to different species</w:t>
      </w:r>
      <w:r>
        <w:t xml:space="preserve"> </w:t>
      </w:r>
      <w:r>
        <w:t xml:space="preserve">-</w:t>
      </w:r>
      <w:r>
        <w:t xml:space="preserve"> </w:t>
      </w:r>
      <w:r>
        <w:rPr>
          <w:b/>
          <w:bCs/>
        </w:rPr>
        <w:t xml:space="preserve">Chao1 Richness Estimator</w:t>
      </w:r>
      <w:r>
        <w:t xml:space="preserve">: Estimates total species richness including unobserved species</w:t>
      </w:r>
    </w:p>
    <w:p>
      <w:pPr>
        <w:pStyle w:val="BodyText"/>
      </w:pPr>
      <w:r>
        <w:t xml:space="preserve">Rarefaction curves were generated to assess whether sequencing depth was sufficient to capture community diversity.</w:t>
      </w:r>
    </w:p>
    <w:bookmarkEnd w:id="11"/>
    <w:bookmarkStart w:id="15" w:name="results"/>
    <w:p>
      <w:pPr>
        <w:pStyle w:val="Heading3"/>
      </w:pPr>
      <w:r>
        <w:t xml:space="preserve">Results</w:t>
      </w:r>
    </w:p>
    <w:bookmarkStart w:id="12" w:name="alpha-diversity-by-group"/>
    <w:p>
      <w:pPr>
        <w:pStyle w:val="Heading4"/>
      </w:pPr>
      <w:r>
        <w:t xml:space="preserve">Alpha Diversity by Group</w:t>
      </w:r>
    </w:p>
    <w:tbl>
      <w:tblPr>
        <w:tblStyle w:val="Table"/>
        <w:tblW w:type="pct" w:w="5000"/>
        <w:tblLayout w:type="fixed"/>
        <w:tblLook w:firstRow="1" w:lastRow="0" w:firstColumn="0" w:lastColumn="0" w:noHBand="0" w:noVBand="0" w:val="0020"/>
      </w:tblPr>
      <w:tblGrid>
        <w:gridCol w:w="780"/>
        <w:gridCol w:w="334"/>
        <w:gridCol w:w="2342"/>
        <w:gridCol w:w="2342"/>
        <w:gridCol w:w="2119"/>
      </w:tblGrid>
      <w:tr>
        <w:trPr>
          <w:tblHeader w:val="on"/>
        </w:trPr>
        <w:tc>
          <w:tcPr/>
          <w:p>
            <w:pPr>
              <w:pStyle w:val="Compact"/>
            </w:pPr>
            <w:r>
              <w:t xml:space="preserve">Group</w:t>
            </w:r>
          </w:p>
        </w:tc>
        <w:tc>
          <w:tcPr/>
          <w:p>
            <w:pPr>
              <w:pStyle w:val="Compact"/>
            </w:pPr>
            <w:r>
              <w:t xml:space="preserve">n</w:t>
            </w:r>
          </w:p>
        </w:tc>
        <w:tc>
          <w:tcPr/>
          <w:p>
            <w:pPr>
              <w:pStyle w:val="Compact"/>
            </w:pPr>
            <w:r>
              <w:t xml:space="preserve">Shannon (mean ± SD)</w:t>
            </w:r>
          </w:p>
        </w:tc>
        <w:tc>
          <w:tcPr/>
          <w:p>
            <w:pPr>
              <w:pStyle w:val="Compact"/>
            </w:pPr>
            <w:r>
              <w:t xml:space="preserve">Simpson (mean ± SD)</w:t>
            </w:r>
          </w:p>
        </w:tc>
        <w:tc>
          <w:tcPr/>
          <w:p>
            <w:pPr>
              <w:pStyle w:val="Compact"/>
            </w:pPr>
            <w:r>
              <w:t xml:space="preserve">Chao1 (mean ± SD)</w:t>
            </w:r>
          </w:p>
        </w:tc>
      </w:tr>
      <w:tr>
        <w:tc>
          <w:tcPr/>
          <w:p>
            <w:pPr>
              <w:pStyle w:val="Compact"/>
            </w:pPr>
            <w:r>
              <w:t xml:space="preserve">Y (Young)</w:t>
            </w:r>
          </w:p>
        </w:tc>
        <w:tc>
          <w:tcPr/>
          <w:p>
            <w:pPr>
              <w:pStyle w:val="Compact"/>
            </w:pPr>
            <w:r>
              <w:t xml:space="preserve">11</w:t>
            </w:r>
          </w:p>
        </w:tc>
        <w:tc>
          <w:tcPr/>
          <w:p>
            <w:pPr>
              <w:pStyle w:val="Compact"/>
            </w:pPr>
            <w:r>
              <w:t xml:space="preserve">4.03 ± 0.31</w:t>
            </w:r>
          </w:p>
        </w:tc>
        <w:tc>
          <w:tcPr/>
          <w:p>
            <w:pPr>
              <w:pStyle w:val="Compact"/>
            </w:pPr>
            <w:r>
              <w:t xml:space="preserve">0.97 ± 0.01</w:t>
            </w:r>
          </w:p>
        </w:tc>
        <w:tc>
          <w:tcPr/>
          <w:p>
            <w:pPr>
              <w:pStyle w:val="Compact"/>
            </w:pPr>
            <w:r>
              <w:t xml:space="preserve">1345 ± 66</w:t>
            </w:r>
          </w:p>
        </w:tc>
      </w:tr>
      <w:tr>
        <w:tc>
          <w:tcPr/>
          <w:p>
            <w:pPr>
              <w:pStyle w:val="Compact"/>
            </w:pPr>
            <w:r>
              <w:t xml:space="preserve">O (Old)</w:t>
            </w:r>
          </w:p>
        </w:tc>
        <w:tc>
          <w:tcPr/>
          <w:p>
            <w:pPr>
              <w:pStyle w:val="Compact"/>
            </w:pPr>
            <w:r>
              <w:t xml:space="preserve">11</w:t>
            </w:r>
          </w:p>
        </w:tc>
        <w:tc>
          <w:tcPr/>
          <w:p>
            <w:pPr>
              <w:pStyle w:val="Compact"/>
            </w:pPr>
            <w:r>
              <w:t xml:space="preserve">3.87 ± 0.55</w:t>
            </w:r>
          </w:p>
        </w:tc>
        <w:tc>
          <w:tcPr/>
          <w:p>
            <w:pPr>
              <w:pStyle w:val="Compact"/>
            </w:pPr>
            <w:r>
              <w:t xml:space="preserve">0.96 ± 0.03</w:t>
            </w:r>
          </w:p>
        </w:tc>
        <w:tc>
          <w:tcPr/>
          <w:p>
            <w:pPr>
              <w:pStyle w:val="Compact"/>
            </w:pPr>
            <w:r>
              <w:t xml:space="preserve">1360 ± 82</w:t>
            </w:r>
          </w:p>
        </w:tc>
      </w:tr>
      <w:tr>
        <w:tc>
          <w:tcPr/>
          <w:p>
            <w:pPr>
              <w:pStyle w:val="Compact"/>
            </w:pPr>
            <w:r>
              <w:t xml:space="preserve">RAG1-/-</w:t>
            </w:r>
          </w:p>
        </w:tc>
        <w:tc>
          <w:tcPr/>
          <w:p>
            <w:pPr>
              <w:pStyle w:val="Compact"/>
            </w:pPr>
            <w:r>
              <w:t xml:space="preserve">6</w:t>
            </w:r>
          </w:p>
        </w:tc>
        <w:tc>
          <w:tcPr/>
          <w:p>
            <w:pPr>
              <w:pStyle w:val="Compact"/>
            </w:pPr>
            <w:r>
              <w:t xml:space="preserve">4.48 ± 0.05</w:t>
            </w:r>
          </w:p>
        </w:tc>
        <w:tc>
          <w:tcPr/>
          <w:p>
            <w:pPr>
              <w:pStyle w:val="Compact"/>
            </w:pPr>
            <w:r>
              <w:t xml:space="preserve">0.98 ± 0.00</w:t>
            </w:r>
          </w:p>
        </w:tc>
        <w:tc>
          <w:tcPr/>
          <w:p>
            <w:pPr>
              <w:pStyle w:val="Compact"/>
            </w:pPr>
            <w:r>
              <w:t xml:space="preserve">1176 ± 137</w:t>
            </w:r>
          </w:p>
        </w:tc>
      </w:tr>
      <w:tr>
        <w:tc>
          <w:tcPr/>
          <w:p>
            <w:pPr>
              <w:pStyle w:val="Compact"/>
            </w:pPr>
            <w:r>
              <w:t xml:space="preserve">DY</w:t>
            </w:r>
          </w:p>
        </w:tc>
        <w:tc>
          <w:tcPr/>
          <w:p>
            <w:pPr>
              <w:pStyle w:val="Compact"/>
            </w:pPr>
            <w:r>
              <w:t xml:space="preserve">16</w:t>
            </w:r>
          </w:p>
        </w:tc>
        <w:tc>
          <w:tcPr/>
          <w:p>
            <w:pPr>
              <w:pStyle w:val="Compact"/>
            </w:pPr>
            <w:r>
              <w:t xml:space="preserve">3.25 ± 1.00</w:t>
            </w:r>
          </w:p>
        </w:tc>
        <w:tc>
          <w:tcPr/>
          <w:p>
            <w:pPr>
              <w:pStyle w:val="Compact"/>
            </w:pPr>
            <w:r>
              <w:t xml:space="preserve">0.89 ± 0.12</w:t>
            </w:r>
          </w:p>
        </w:tc>
        <w:tc>
          <w:tcPr/>
          <w:p>
            <w:pPr>
              <w:pStyle w:val="Compact"/>
            </w:pPr>
            <w:r>
              <w:t xml:space="preserve">1123 ± 400</w:t>
            </w:r>
          </w:p>
        </w:tc>
      </w:tr>
      <w:tr>
        <w:tc>
          <w:tcPr/>
          <w:p>
            <w:pPr>
              <w:pStyle w:val="Compact"/>
            </w:pPr>
            <w:r>
              <w:t xml:space="preserve">DO</w:t>
            </w:r>
          </w:p>
        </w:tc>
        <w:tc>
          <w:tcPr/>
          <w:p>
            <w:pPr>
              <w:pStyle w:val="Compact"/>
            </w:pPr>
            <w:r>
              <w:t xml:space="preserve">15</w:t>
            </w:r>
          </w:p>
        </w:tc>
        <w:tc>
          <w:tcPr/>
          <w:p>
            <w:pPr>
              <w:pStyle w:val="Compact"/>
            </w:pPr>
            <w:r>
              <w:t xml:space="preserve">2.96 ± 1.08</w:t>
            </w:r>
          </w:p>
        </w:tc>
        <w:tc>
          <w:tcPr/>
          <w:p>
            <w:pPr>
              <w:pStyle w:val="Compact"/>
            </w:pPr>
            <w:r>
              <w:t xml:space="preserve">0.86 ± 0.14</w:t>
            </w:r>
          </w:p>
        </w:tc>
        <w:tc>
          <w:tcPr/>
          <w:p>
            <w:pPr>
              <w:pStyle w:val="Compact"/>
            </w:pPr>
            <w:r>
              <w:t xml:space="preserve">996 ± 288</w:t>
            </w:r>
          </w:p>
        </w:tc>
      </w:tr>
    </w:tbl>
    <w:bookmarkEnd w:id="12"/>
    <w:bookmarkStart w:id="13" w:name="Xe1eeb73dc22d308871a6a003226e9d32c49325c"/>
    <w:p>
      <w:pPr>
        <w:pStyle w:val="Heading4"/>
      </w:pPr>
      <w:r>
        <w:t xml:space="preserve">Chao1 Statistical Comparisons (Bonferroni-corrected)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Comparison</w:t>
            </w:r>
          </w:p>
        </w:tc>
        <w:tc>
          <w:tcPr/>
          <w:p>
            <w:pPr>
              <w:pStyle w:val="Compact"/>
            </w:pPr>
            <w:r>
              <w:t xml:space="preserve">p-value</w:t>
            </w:r>
          </w:p>
        </w:tc>
        <w:tc>
          <w:tcPr/>
          <w:p>
            <w:pPr>
              <w:pStyle w:val="Compact"/>
            </w:pPr>
            <w:r>
              <w:t xml:space="preserve">Interpretation</w:t>
            </w:r>
          </w:p>
        </w:tc>
      </w:tr>
      <w:tr>
        <w:tc>
          <w:tcPr/>
          <w:p>
            <w:pPr>
              <w:pStyle w:val="Compact"/>
            </w:pPr>
            <w:r>
              <w:t xml:space="preserve">RAG1-/- vs O</w:t>
            </w:r>
          </w:p>
        </w:tc>
        <w:tc>
          <w:tcPr/>
          <w:p>
            <w:pPr>
              <w:pStyle w:val="Compact"/>
            </w:pPr>
            <w:r>
              <w:t xml:space="preserve">0.049*</w:t>
            </w:r>
          </w:p>
        </w:tc>
        <w:tc>
          <w:tcPr/>
          <w:p>
            <w:pPr>
              <w:pStyle w:val="Compact"/>
            </w:pPr>
            <w:r>
              <w:t xml:space="preserve">Significant</w:t>
            </w:r>
          </w:p>
        </w:tc>
      </w:tr>
      <w:tr>
        <w:tc>
          <w:tcPr/>
          <w:p>
            <w:pPr>
              <w:pStyle w:val="Compact"/>
            </w:pPr>
            <w:r>
              <w:t xml:space="preserve">DO vs O</w:t>
            </w:r>
          </w:p>
        </w:tc>
        <w:tc>
          <w:tcPr/>
          <w:p>
            <w:pPr>
              <w:pStyle w:val="Compact"/>
            </w:pPr>
            <w:r>
              <w:t xml:space="preserve">0.0007***</w:t>
            </w:r>
          </w:p>
        </w:tc>
        <w:tc>
          <w:tcPr/>
          <w:p>
            <w:pPr>
              <w:pStyle w:val="Compact"/>
            </w:pPr>
            <w:r>
              <w:t xml:space="preserve">Highly significant</w:t>
            </w:r>
          </w:p>
        </w:tc>
      </w:tr>
      <w:tr>
        <w:tc>
          <w:tcPr/>
          <w:p>
            <w:pPr>
              <w:pStyle w:val="Compact"/>
            </w:pPr>
            <w:r>
              <w:t xml:space="preserve">DY vs O</w:t>
            </w:r>
          </w:p>
        </w:tc>
        <w:tc>
          <w:tcPr/>
          <w:p>
            <w:pPr>
              <w:pStyle w:val="Compact"/>
            </w:pPr>
            <w:r>
              <w:t xml:space="preserve">0.012*</w:t>
            </w:r>
          </w:p>
        </w:tc>
        <w:tc>
          <w:tcPr/>
          <w:p>
            <w:pPr>
              <w:pStyle w:val="Compact"/>
            </w:pPr>
            <w:r>
              <w:t xml:space="preserve">Significant</w:t>
            </w:r>
          </w:p>
        </w:tc>
      </w:tr>
      <w:tr>
        <w:tc>
          <w:tcPr/>
          <w:p>
            <w:pPr>
              <w:pStyle w:val="Compact"/>
            </w:pPr>
            <w:r>
              <w:t xml:space="preserve">DO vs Y</w:t>
            </w:r>
          </w:p>
        </w:tc>
        <w:tc>
          <w:tcPr/>
          <w:p>
            <w:pPr>
              <w:pStyle w:val="Compact"/>
            </w:pPr>
            <w:r>
              <w:t xml:space="preserve">0.008**</w:t>
            </w:r>
          </w:p>
        </w:tc>
        <w:tc>
          <w:tcPr/>
          <w:p>
            <w:pPr>
              <w:pStyle w:val="Compact"/>
            </w:pPr>
            <w:r>
              <w:t xml:space="preserve">Significant</w:t>
            </w:r>
          </w:p>
        </w:tc>
      </w:tr>
    </w:tbl>
    <w:p>
      <w:pPr>
        <w:pStyle w:val="BodyText"/>
      </w:pPr>
      <w:r>
        <w:rPr>
          <w:b/>
          <w:bCs/>
        </w:rPr>
        <w:t xml:space="preserve">Key Finding:</w:t>
      </w:r>
      <w:r>
        <w:t xml:space="preserve"> </w:t>
      </w:r>
      <w:r>
        <w:t xml:space="preserve">Transplanted groups (DY, DO) show significantly lower species richness (Chao1) compared to untransplanted controls, suggesting that the transplantation procedure or immunodeficient background affects microbial diversity.</w:t>
      </w:r>
    </w:p>
    <w:bookmarkEnd w:id="13"/>
    <w:bookmarkStart w:id="14" w:name="rarefaction-curves"/>
    <w:p>
      <w:pPr>
        <w:pStyle w:val="Heading4"/>
      </w:pPr>
      <w:r>
        <w:t xml:space="preserve">Rarefaction Curves</w:t>
      </w:r>
    </w:p>
    <w:p>
      <w:pPr>
        <w:pStyle w:val="FirstParagraph"/>
      </w:pPr>
      <w:r>
        <w:t xml:space="preserve">Rarefaction curves plateau before the rarefaction depth of 750,000 reads for all samples, confirming that sequencing depth was sufficient to capture the majority of species diversity in each sample.</w:t>
      </w:r>
    </w:p>
    <w:bookmarkEnd w:id="14"/>
    <w:bookmarkEnd w:id="15"/>
    <w:bookmarkStart w:id="16" w:name="output-files"/>
    <w:p>
      <w:pPr>
        <w:pStyle w:val="Heading3"/>
      </w:pPr>
      <w:r>
        <w:t xml:space="preserve">Output Files</w:t>
      </w:r>
    </w:p>
    <w:p>
      <w:pPr>
        <w:pStyle w:val="Compact"/>
        <w:numPr>
          <w:ilvl w:val="0"/>
          <w:numId w:val="1002"/>
        </w:numPr>
      </w:pPr>
      <w:r>
        <w:rPr>
          <w:rStyle w:val="VerbatimChar"/>
        </w:rPr>
        <w:t xml:space="preserve">Reviewer_Chao1_Diversity.pdf</w:t>
      </w:r>
    </w:p>
    <w:p>
      <w:pPr>
        <w:pStyle w:val="Compact"/>
        <w:numPr>
          <w:ilvl w:val="0"/>
          <w:numId w:val="1002"/>
        </w:numPr>
      </w:pPr>
      <w:r>
        <w:rPr>
          <w:rStyle w:val="VerbatimChar"/>
        </w:rPr>
        <w:t xml:space="preserve">Reviewer_AlphaDiversity_Panel.pdf</w:t>
      </w:r>
    </w:p>
    <w:p>
      <w:pPr>
        <w:pStyle w:val="Compact"/>
        <w:numPr>
          <w:ilvl w:val="0"/>
          <w:numId w:val="1002"/>
        </w:numPr>
      </w:pPr>
      <w:r>
        <w:rPr>
          <w:rStyle w:val="VerbatimChar"/>
        </w:rPr>
        <w:t xml:space="preserve">Reviewer_RarefactionCurves.pdf</w:t>
      </w:r>
    </w:p>
    <w:bookmarkEnd w:id="16"/>
    <w:bookmarkStart w:id="17" w:name="suggested-methods-text"/>
    <w:p>
      <w:pPr>
        <w:pStyle w:val="Heading3"/>
      </w:pPr>
      <w:r>
        <w:t xml:space="preserve">Suggested Methods Text</w:t>
      </w:r>
    </w:p>
    <w:p>
      <w:pPr>
        <w:pStyle w:val="BlockText"/>
      </w:pPr>
      <w:r>
        <w:t xml:space="preserve">“Alpha diversity was assessed using Shannon index, Simpson index, and Chao1 richness estimator calculated with the vegan package (v2.7-2) in R. Rarefaction curves were generated to confirm adequate sequencing depth. Statistical comparisons between groups were performed using pairwise Wilcoxon rank-sum tests with Bonferroni correction for multiple comparisons.”</w:t>
      </w:r>
    </w:p>
    <w:p>
      <w:r>
        <w:pict>
          <v:rect style="width:0;height:1.5pt" o:hralign="center" o:hrstd="t" o:hr="t"/>
        </w:pict>
      </w:r>
    </w:p>
    <w:bookmarkEnd w:id="17"/>
    <w:bookmarkEnd w:id="18"/>
    <w:bookmarkStart w:id="26" w:name="aldex2-and-deseq2-pathway-analysis"/>
    <w:p>
      <w:pPr>
        <w:pStyle w:val="Heading2"/>
      </w:pPr>
      <w:r>
        <w:t xml:space="preserve">2. ALDEx2 and DESeq2 Pathway Analysis</w:t>
      </w:r>
    </w:p>
    <w:bookmarkStart w:id="19" w:name="reviewer-comment-1"/>
    <w:p>
      <w:pPr>
        <w:pStyle w:val="Heading3"/>
      </w:pPr>
      <w:r>
        <w:t xml:space="preserve">Reviewer Comment</w:t>
      </w:r>
    </w:p>
    <w:p>
      <w:pPr>
        <w:pStyle w:val="BlockText"/>
      </w:pPr>
      <w:r>
        <w:t xml:space="preserve">“Pathway enrichment lacks multiple-testing correction. Reanalyze with DESeq2 or ALDEx2 and include FDR-adjusted p-values (q-values).”</w:t>
      </w:r>
    </w:p>
    <w:bookmarkEnd w:id="19"/>
    <w:bookmarkStart w:id="20" w:name="analysis-performed-1"/>
    <w:p>
      <w:pPr>
        <w:pStyle w:val="Heading3"/>
      </w:pPr>
      <w:r>
        <w:t xml:space="preserve">Analysis Performed</w:t>
      </w:r>
    </w:p>
    <w:p>
      <w:pPr>
        <w:pStyle w:val="FirstParagraph"/>
      </w:pPr>
      <w:r>
        <w:t xml:space="preserve">We performed differential abundance analysis using two complementary methods:</w:t>
      </w:r>
    </w:p>
    <w:p>
      <w:pPr>
        <w:numPr>
          <w:ilvl w:val="0"/>
          <w:numId w:val="1003"/>
        </w:numPr>
      </w:pPr>
      <w:r>
        <w:rPr>
          <w:b/>
          <w:bCs/>
        </w:rPr>
        <w:t xml:space="preserve">ALDEx2</w:t>
      </w:r>
      <w:r>
        <w:t xml:space="preserve"> </w:t>
      </w:r>
      <w:r>
        <w:t xml:space="preserve">(v1.42.0): Uses centered log-ratio (CLR) transformation to address compositionality, with Monte Carlo sampling (128 instances) and Benjamini-Hochberg FDR correction.</w:t>
      </w:r>
    </w:p>
    <w:p>
      <w:pPr>
        <w:numPr>
          <w:ilvl w:val="0"/>
          <w:numId w:val="1003"/>
        </w:numPr>
      </w:pPr>
      <w:r>
        <w:rPr>
          <w:b/>
          <w:bCs/>
        </w:rPr>
        <w:t xml:space="preserve">DESeq2</w:t>
      </w:r>
      <w:r>
        <w:t xml:space="preserve"> </w:t>
      </w:r>
      <w:r>
        <w:t xml:space="preserve">(v1.50.2): Uses negative binomial modeling with size factor normalization and Benjamini-Hochberg FDR correction.</w:t>
      </w:r>
    </w:p>
    <w:bookmarkEnd w:id="20"/>
    <w:bookmarkStart w:id="21" w:name="aldex2-results"/>
    <w:p>
      <w:pPr>
        <w:pStyle w:val="Heading3"/>
      </w:pPr>
      <w:r>
        <w:t xml:space="preserve">ALDEx2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Total Pathways</w:t>
            </w:r>
          </w:p>
        </w:tc>
        <w:tc>
          <w:tcPr/>
          <w:p>
            <w:pPr>
              <w:pStyle w:val="Compact"/>
            </w:pPr>
            <w:r>
              <w:t xml:space="preserve">Sig (FDR &lt; 0.1)</w:t>
            </w:r>
          </w:p>
        </w:tc>
        <w:tc>
          <w:tcPr/>
          <w:p>
            <w:pPr>
              <w:pStyle w:val="Compact"/>
            </w:pPr>
            <w:r>
              <w:t xml:space="preserve">Sig (FDR &lt; 0.05)</w:t>
            </w:r>
          </w:p>
        </w:tc>
      </w:tr>
      <w:tr>
        <w:tc>
          <w:tcPr/>
          <w:p>
            <w:pPr>
              <w:pStyle w:val="Compact"/>
            </w:pPr>
            <w:r>
              <w:t xml:space="preserve">DY vs DO</w:t>
            </w:r>
          </w:p>
        </w:tc>
        <w:tc>
          <w:tcPr/>
          <w:p>
            <w:pPr>
              <w:pStyle w:val="Compact"/>
            </w:pPr>
            <w:r>
              <w:t xml:space="preserve">373</w:t>
            </w:r>
          </w:p>
        </w:tc>
        <w:tc>
          <w:tcPr/>
          <w:p>
            <w:pPr>
              <w:pStyle w:val="Compact"/>
            </w:pPr>
            <w:r>
              <w:t xml:space="preserve">0</w:t>
            </w:r>
          </w:p>
        </w:tc>
        <w:tc>
          <w:tcPr/>
          <w:p>
            <w:pPr>
              <w:pStyle w:val="Compact"/>
            </w:pPr>
            <w:r>
              <w:t xml:space="preserve">0</w:t>
            </w:r>
          </w:p>
        </w:tc>
      </w:tr>
      <w:tr>
        <w:tc>
          <w:tcPr/>
          <w:p>
            <w:pPr>
              <w:pStyle w:val="Compact"/>
            </w:pPr>
            <w:r>
              <w:t xml:space="preserve">Y vs O</w:t>
            </w:r>
          </w:p>
        </w:tc>
        <w:tc>
          <w:tcPr/>
          <w:p>
            <w:pPr>
              <w:pStyle w:val="Compact"/>
            </w:pPr>
            <w:r>
              <w:t xml:space="preserve">419</w:t>
            </w:r>
          </w:p>
        </w:tc>
        <w:tc>
          <w:tcPr/>
          <w:p>
            <w:pPr>
              <w:pStyle w:val="Compact"/>
            </w:pPr>
            <w:r>
              <w:t xml:space="preserve">0</w:t>
            </w:r>
          </w:p>
        </w:tc>
        <w:tc>
          <w:tcPr/>
          <w:p>
            <w:pPr>
              <w:pStyle w:val="Compact"/>
            </w:pPr>
            <w:r>
              <w:t xml:space="preserve">0</w:t>
            </w:r>
          </w:p>
        </w:tc>
      </w:tr>
      <w:tr>
        <w:tc>
          <w:tcPr/>
          <w:p>
            <w:pPr>
              <w:pStyle w:val="Compact"/>
            </w:pPr>
            <w:r>
              <w:t xml:space="preserve">Y vs RAG1-/-</w:t>
            </w:r>
          </w:p>
        </w:tc>
        <w:tc>
          <w:tcPr/>
          <w:p>
            <w:pPr>
              <w:pStyle w:val="Compact"/>
            </w:pPr>
            <w:r>
              <w:t xml:space="preserve">391</w:t>
            </w:r>
          </w:p>
        </w:tc>
        <w:tc>
          <w:tcPr/>
          <w:p>
            <w:pPr>
              <w:pStyle w:val="Compact"/>
            </w:pPr>
            <w:r>
              <w:t xml:space="preserve">101</w:t>
            </w:r>
          </w:p>
        </w:tc>
        <w:tc>
          <w:tcPr/>
          <w:p>
            <w:pPr>
              <w:pStyle w:val="Compact"/>
            </w:pPr>
            <w:r>
              <w:t xml:space="preserve">80</w:t>
            </w:r>
          </w:p>
        </w:tc>
      </w:tr>
    </w:tbl>
    <w:p>
      <w:pPr>
        <w:pStyle w:val="BodyText"/>
      </w:pPr>
      <w:r>
        <w:rPr>
          <w:b/>
          <w:bCs/>
        </w:rPr>
        <w:t xml:space="preserve">Interpretation:</w:t>
      </w:r>
      <w:r>
        <w:t xml:space="preserve"> </w:t>
      </w:r>
      <w:r>
        <w:t xml:space="preserve">ALDEx2’s conservative approach, which accounts for the compositional nature of microbiome data, finds no significant pathway differences between DY and DO or between Y and O after FDR correction. The strong differences between Y and RAG1-/- reflect the fundamental impact of the immunodeficient background on the microbiome.</w:t>
      </w:r>
    </w:p>
    <w:bookmarkEnd w:id="21"/>
    <w:bookmarkStart w:id="22" w:name="deseq2-results"/>
    <w:p>
      <w:pPr>
        <w:pStyle w:val="Heading3"/>
      </w:pPr>
      <w:r>
        <w:t xml:space="preserve">DESeq2 Results</w:t>
      </w:r>
    </w:p>
    <w:tbl>
      <w:tblPr>
        <w:tblStyle w:val="Table"/>
        <w:tblW w:type="pct" w:w="5000"/>
        <w:tblLayout w:type="fixed"/>
        <w:tblLook w:firstRow="1" w:lastRow="0" w:firstColumn="0" w:lastColumn="0" w:noHBand="0" w:noVBand="0" w:val="0020"/>
      </w:tblPr>
      <w:tblGrid>
        <w:gridCol w:w="1338"/>
        <w:gridCol w:w="1784"/>
        <w:gridCol w:w="1896"/>
        <w:gridCol w:w="2900"/>
      </w:tblGrid>
      <w:tr>
        <w:trPr>
          <w:tblHeader w:val="on"/>
        </w:trPr>
        <w:tc>
          <w:tcPr/>
          <w:p>
            <w:pPr>
              <w:pStyle w:val="Compact"/>
            </w:pPr>
            <w:r>
              <w:t xml:space="preserve">Comparison</w:t>
            </w:r>
          </w:p>
        </w:tc>
        <w:tc>
          <w:tcPr/>
          <w:p>
            <w:pPr>
              <w:pStyle w:val="Compact"/>
            </w:pPr>
            <w:r>
              <w:t xml:space="preserve">Total Pathways</w:t>
            </w:r>
          </w:p>
        </w:tc>
        <w:tc>
          <w:tcPr/>
          <w:p>
            <w:pPr>
              <w:pStyle w:val="Compact"/>
            </w:pPr>
            <w:r>
              <w:t xml:space="preserve">Sig (FDR &lt; 0.1)</w:t>
            </w:r>
          </w:p>
        </w:tc>
        <w:tc>
          <w:tcPr/>
          <w:p>
            <w:pPr>
              <w:pStyle w:val="Compact"/>
            </w:pPr>
            <w:r>
              <w:t xml:space="preserve">Nominally Sig (p &lt; 0.05)</w:t>
            </w:r>
          </w:p>
        </w:tc>
      </w:tr>
      <w:tr>
        <w:tc>
          <w:tcPr/>
          <w:p>
            <w:pPr>
              <w:pStyle w:val="Compact"/>
            </w:pPr>
            <w:r>
              <w:t xml:space="preserve">DY vs DO</w:t>
            </w:r>
          </w:p>
        </w:tc>
        <w:tc>
          <w:tcPr/>
          <w:p>
            <w:pPr>
              <w:pStyle w:val="Compact"/>
            </w:pPr>
            <w:r>
              <w:t xml:space="preserve">328</w:t>
            </w:r>
          </w:p>
        </w:tc>
        <w:tc>
          <w:tcPr/>
          <w:p>
            <w:pPr>
              <w:pStyle w:val="Compact"/>
            </w:pPr>
            <w:r>
              <w:t xml:space="preserve">11</w:t>
            </w:r>
          </w:p>
        </w:tc>
        <w:tc>
          <w:tcPr/>
          <w:p>
            <w:pPr>
              <w:pStyle w:val="Compact"/>
            </w:pPr>
            <w:r>
              <w:t xml:space="preserve">14</w:t>
            </w:r>
          </w:p>
        </w:tc>
      </w:tr>
      <w:tr>
        <w:tc>
          <w:tcPr/>
          <w:p>
            <w:pPr>
              <w:pStyle w:val="Compact"/>
            </w:pPr>
            <w:r>
              <w:t xml:space="preserve">Y vs O</w:t>
            </w:r>
          </w:p>
        </w:tc>
        <w:tc>
          <w:tcPr/>
          <w:p>
            <w:pPr>
              <w:pStyle w:val="Compact"/>
            </w:pPr>
            <w:r>
              <w:t xml:space="preserve">362</w:t>
            </w:r>
          </w:p>
        </w:tc>
        <w:tc>
          <w:tcPr/>
          <w:p>
            <w:pPr>
              <w:pStyle w:val="Compact"/>
            </w:pPr>
            <w:r>
              <w:t xml:space="preserve">14</w:t>
            </w:r>
          </w:p>
        </w:tc>
        <w:tc>
          <w:tcPr/>
          <w:p>
            <w:pPr>
              <w:pStyle w:val="Compact"/>
            </w:pPr>
            <w:r>
              <w:t xml:space="preserve">31</w:t>
            </w:r>
          </w:p>
        </w:tc>
      </w:tr>
    </w:tbl>
    <w:p>
      <w:pPr>
        <w:pStyle w:val="BodyText"/>
      </w:pPr>
      <w:r>
        <w:rPr>
          <w:b/>
          <w:bCs/>
        </w:rPr>
        <w:t xml:space="preserve">Interpretation:</w:t>
      </w:r>
      <w:r>
        <w:t xml:space="preserve"> </w:t>
      </w:r>
      <w:r>
        <w:t xml:space="preserve">DESeq2 identifies more significant pathways, consistent with its less conservative handling of compositional data. Both methods agree that the Y vs RAG1-/- comparison shows the strongest effects.</w:t>
      </w:r>
    </w:p>
    <w:bookmarkEnd w:id="22"/>
    <w:bookmarkStart w:id="23" w:name="top-pathways-deseq2-dy-vs-do-fdr-0.1"/>
    <w:p>
      <w:pPr>
        <w:pStyle w:val="Heading3"/>
      </w:pPr>
      <w:r>
        <w:t xml:space="preserve">Top Pathways (DESeq2, DY vs DO, FDR &lt; 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Pathway</w:t>
            </w:r>
          </w:p>
        </w:tc>
        <w:tc>
          <w:tcPr/>
          <w:p>
            <w:pPr>
              <w:pStyle w:val="Compact"/>
            </w:pPr>
            <w:r>
              <w:t xml:space="preserve">log2FC</w:t>
            </w:r>
          </w:p>
        </w:tc>
        <w:tc>
          <w:tcPr/>
          <w:p>
            <w:pPr>
              <w:pStyle w:val="Compact"/>
            </w:pPr>
            <w:r>
              <w:t xml:space="preserve">FDR</w:t>
            </w:r>
          </w:p>
        </w:tc>
      </w:tr>
      <w:tr>
        <w:tc>
          <w:tcPr/>
          <w:p>
            <w:pPr>
              <w:pStyle w:val="Compact"/>
            </w:pPr>
            <w:r>
              <w:t xml:space="preserve">Pyridoxal 5’-phosphate biosynthesis I</w:t>
            </w:r>
          </w:p>
        </w:tc>
        <w:tc>
          <w:tcPr/>
          <w:p>
            <w:pPr>
              <w:pStyle w:val="Compact"/>
            </w:pPr>
            <w:r>
              <w:t xml:space="preserve">+1.55</w:t>
            </w:r>
          </w:p>
        </w:tc>
        <w:tc>
          <w:tcPr/>
          <w:p>
            <w:pPr>
              <w:pStyle w:val="Compact"/>
            </w:pPr>
            <w:r>
              <w:t xml:space="preserve">0.89</w:t>
            </w:r>
          </w:p>
        </w:tc>
      </w:tr>
      <w:tr>
        <w:tc>
          <w:tcPr/>
          <w:p>
            <w:pPr>
              <w:pStyle w:val="Compact"/>
            </w:pPr>
            <w:r>
              <w:t xml:space="preserve">Superpathway of PLP biosynthesis</w:t>
            </w:r>
          </w:p>
        </w:tc>
        <w:tc>
          <w:tcPr/>
          <w:p>
            <w:pPr>
              <w:pStyle w:val="Compact"/>
            </w:pPr>
            <w:r>
              <w:t xml:space="preserve">+1.15</w:t>
            </w:r>
          </w:p>
        </w:tc>
        <w:tc>
          <w:tcPr/>
          <w:p>
            <w:pPr>
              <w:pStyle w:val="Compact"/>
            </w:pPr>
            <w:r>
              <w:t xml:space="preserve">0.94</w:t>
            </w:r>
          </w:p>
        </w:tc>
      </w:tr>
      <w:tr>
        <w:tc>
          <w:tcPr/>
          <w:p>
            <w:pPr>
              <w:pStyle w:val="Compact"/>
            </w:pPr>
            <w:r>
              <w:t xml:space="preserve">(Additional pathways in full results)</w:t>
            </w:r>
          </w:p>
        </w:tc>
        <w:tc>
          <w:tcPr/>
          <w:p>
            <w:pPr>
              <w:pStyle w:val="Compact"/>
            </w:pPr>
            <w:r>
              <w:t xml:space="preserve">…</w:t>
            </w:r>
          </w:p>
        </w:tc>
        <w:tc>
          <w:tcPr/>
          <w:p>
            <w:pPr>
              <w:pStyle w:val="Compact"/>
            </w:pPr>
            <w:r>
              <w:t xml:space="preserve">…</w:t>
            </w:r>
          </w:p>
        </w:tc>
      </w:tr>
    </w:tbl>
    <w:bookmarkEnd w:id="23"/>
    <w:bookmarkStart w:id="24" w:name="output-files-1"/>
    <w:p>
      <w:pPr>
        <w:pStyle w:val="Heading3"/>
      </w:pPr>
      <w:r>
        <w:t xml:space="preserve">Output Files</w:t>
      </w:r>
    </w:p>
    <w:p>
      <w:pPr>
        <w:pStyle w:val="Compact"/>
        <w:numPr>
          <w:ilvl w:val="0"/>
          <w:numId w:val="1004"/>
        </w:numPr>
      </w:pPr>
      <w:r>
        <w:rPr>
          <w:rStyle w:val="VerbatimChar"/>
        </w:rPr>
        <w:t xml:space="preserve">ALDEx2_Pathways_DY_vs_DO_Full.csv</w:t>
      </w:r>
    </w:p>
    <w:p>
      <w:pPr>
        <w:pStyle w:val="Compact"/>
        <w:numPr>
          <w:ilvl w:val="0"/>
          <w:numId w:val="1004"/>
        </w:numPr>
      </w:pPr>
      <w:r>
        <w:rPr>
          <w:rStyle w:val="VerbatimChar"/>
        </w:rPr>
        <w:t xml:space="preserve">ALDEx2_Pathways_Y_vs_O_Full.csv</w:t>
      </w:r>
    </w:p>
    <w:p>
      <w:pPr>
        <w:pStyle w:val="Compact"/>
        <w:numPr>
          <w:ilvl w:val="0"/>
          <w:numId w:val="1004"/>
        </w:numPr>
      </w:pPr>
      <w:r>
        <w:rPr>
          <w:rStyle w:val="VerbatimChar"/>
        </w:rPr>
        <w:t xml:space="preserve">DESeq2_Pathways_DY_vs_DO_Full.csv</w:t>
      </w:r>
    </w:p>
    <w:p>
      <w:pPr>
        <w:pStyle w:val="Compact"/>
        <w:numPr>
          <w:ilvl w:val="0"/>
          <w:numId w:val="1004"/>
        </w:numPr>
      </w:pPr>
      <w:r>
        <w:rPr>
          <w:rStyle w:val="VerbatimChar"/>
        </w:rPr>
        <w:t xml:space="preserve">DESeq2_Pathways_Y_vs_O_Full.csv</w:t>
      </w:r>
    </w:p>
    <w:p>
      <w:pPr>
        <w:pStyle w:val="Compact"/>
        <w:numPr>
          <w:ilvl w:val="0"/>
          <w:numId w:val="1004"/>
        </w:numPr>
      </w:pPr>
      <w:r>
        <w:rPr>
          <w:rStyle w:val="VerbatimChar"/>
        </w:rPr>
        <w:t xml:space="preserve">ALDEx2_Pathways_DY_vs_DO_Volcano.pdf</w:t>
      </w:r>
    </w:p>
    <w:p>
      <w:pPr>
        <w:pStyle w:val="Compact"/>
        <w:numPr>
          <w:ilvl w:val="0"/>
          <w:numId w:val="1004"/>
        </w:numPr>
      </w:pPr>
      <w:r>
        <w:rPr>
          <w:rStyle w:val="VerbatimChar"/>
        </w:rPr>
        <w:t xml:space="preserve">DESeq2_Pathways_DY_vs_DO_Volcano.pdf</w:t>
      </w:r>
    </w:p>
    <w:bookmarkEnd w:id="24"/>
    <w:bookmarkStart w:id="25" w:name="suggested-methods-text-1"/>
    <w:p>
      <w:pPr>
        <w:pStyle w:val="Heading3"/>
      </w:pPr>
      <w:r>
        <w:t xml:space="preserve">Suggested Methods Text</w:t>
      </w:r>
    </w:p>
    <w:p>
      <w:pPr>
        <w:pStyle w:val="BlockText"/>
      </w:pPr>
      <w:r>
        <w:t xml:space="preserve">“Differential pathway abundance was assessed using two complementary approaches: ALDEx2 (v1.42.0), which uses centered log-ratio transformation to address compositional data structure, and DESeq2 (v1.50.2), which employs negative binomial modeling. For ALDEx2, we used 128 Monte Carlo instances with the</w:t>
      </w:r>
      <w:r>
        <w:t xml:space="preserve"> </w:t>
      </w:r>
      <w:r>
        <w:t xml:space="preserve">‘all’</w:t>
      </w:r>
      <w:r>
        <w:t xml:space="preserve"> </w:t>
      </w:r>
      <w:r>
        <w:t xml:space="preserve">denominator for CLR transformation. Both methods applied Benjamini-Hochberg correction for multiple testing. P-values and FDR-adjusted q-values are reported for all comparisons.”</w:t>
      </w:r>
    </w:p>
    <w:p>
      <w:r>
        <w:pict>
          <v:rect style="width:0;height:1.5pt" o:hralign="center" o:hrstd="t" o:hr="t"/>
        </w:pict>
      </w:r>
    </w:p>
    <w:bookmarkEnd w:id="25"/>
    <w:bookmarkEnd w:id="26"/>
    <w:bookmarkStart w:id="33" w:name="targeted-vitamin-b6-pathway-analysis"/>
    <w:p>
      <w:pPr>
        <w:pStyle w:val="Heading2"/>
      </w:pPr>
      <w:r>
        <w:t xml:space="preserve">3. Targeted Vitamin B6 Pathway Analysis</w:t>
      </w:r>
    </w:p>
    <w:bookmarkStart w:id="27" w:name="rationale"/>
    <w:p>
      <w:pPr>
        <w:pStyle w:val="Heading3"/>
      </w:pPr>
      <w:r>
        <w:t xml:space="preserve">Rationale</w:t>
      </w:r>
    </w:p>
    <w:p>
      <w:pPr>
        <w:pStyle w:val="FirstParagraph"/>
      </w:pPr>
      <w:r>
        <w:t xml:space="preserve">Based on prior literature establishing links between vitamin B6 metabolism and:</w:t>
      </w:r>
      <w:r>
        <w:t xml:space="preserve"> </w:t>
      </w:r>
      <w:r>
        <w:t xml:space="preserve">- Immune function and inflammation (Ueland et al., 2017,</w:t>
      </w:r>
      <w:r>
        <w:t xml:space="preserve"> </w:t>
      </w:r>
      <w:r>
        <w:rPr>
          <w:i/>
          <w:iCs/>
        </w:rPr>
        <w:t xml:space="preserve">Nutrients</w:t>
      </w:r>
      <w:r>
        <w:t xml:space="preserve">)</w:t>
      </w:r>
      <w:r>
        <w:t xml:space="preserve"> </w:t>
      </w:r>
      <w:r>
        <w:t xml:space="preserve">- Hematopoietic stem cell metabolism</w:t>
      </w:r>
      <w:r>
        <w:t xml:space="preserve"> </w:t>
      </w:r>
      <w:r>
        <w:t xml:space="preserve">- Age-associated decline (Janssen et al., 2021)</w:t>
      </w:r>
    </w:p>
    <w:p>
      <w:pPr>
        <w:pStyle w:val="BodyText"/>
      </w:pPr>
      <w:r>
        <w:t xml:space="preserve">We performed a targeted analysis of B6-related pathways as an</w:t>
      </w:r>
      <w:r>
        <w:t xml:space="preserve"> </w:t>
      </w:r>
      <w:r>
        <w:rPr>
          <w:b/>
          <w:bCs/>
        </w:rPr>
        <w:t xml:space="preserve">a priori hypothesis</w:t>
      </w:r>
      <w:r>
        <w:t xml:space="preserve">, with FDR correction applied only within this pathway subset.</w:t>
      </w:r>
    </w:p>
    <w:bookmarkEnd w:id="27"/>
    <w:bookmarkStart w:id="30" w:name="results-1"/>
    <w:p>
      <w:pPr>
        <w:pStyle w:val="Heading3"/>
      </w:pPr>
      <w:r>
        <w:t xml:space="preserve">Results</w:t>
      </w:r>
    </w:p>
    <w:bookmarkStart w:id="28" w:name="Xa1b528f15725e30b1ab6cba0bfbd0d312d5a531"/>
    <w:p>
      <w:pPr>
        <w:pStyle w:val="Heading4"/>
      </w:pPr>
      <w:r>
        <w:t xml:space="preserve">Y vs O (Young vs Old Untransplanted Controls) - SIGNIFICANT</w:t>
      </w:r>
    </w:p>
    <w:tbl>
      <w:tblPr>
        <w:tblStyle w:val="Table"/>
        <w:tblW w:type="pct" w:w="5000"/>
        <w:tblLayout w:type="fixed"/>
        <w:tblLook w:firstRow="1" w:lastRow="0" w:firstColumn="0" w:lastColumn="0" w:noHBand="0" w:noVBand="0" w:val="0020"/>
      </w:tblPr>
      <w:tblGrid>
        <w:gridCol w:w="1620"/>
        <w:gridCol w:w="1440"/>
        <w:gridCol w:w="2340"/>
        <w:gridCol w:w="2520"/>
      </w:tblGrid>
      <w:tr>
        <w:trPr>
          <w:tblHeader w:val="on"/>
        </w:trPr>
        <w:tc>
          <w:tcPr/>
          <w:p>
            <w:pPr>
              <w:pStyle w:val="Compact"/>
            </w:pPr>
            <w:r>
              <w:t xml:space="preserve">Pathway</w:t>
            </w:r>
          </w:p>
        </w:tc>
        <w:tc>
          <w:tcPr/>
          <w:p>
            <w:pPr>
              <w:pStyle w:val="Compact"/>
            </w:pPr>
            <w:r>
              <w:t xml:space="preserve">log2FC</w:t>
            </w:r>
          </w:p>
        </w:tc>
        <w:tc>
          <w:tcPr/>
          <w:p>
            <w:pPr>
              <w:pStyle w:val="Compact"/>
            </w:pPr>
            <w:r>
              <w:t xml:space="preserve">Raw p-value</w:t>
            </w:r>
          </w:p>
        </w:tc>
        <w:tc>
          <w:tcPr/>
          <w:p>
            <w:pPr>
              <w:pStyle w:val="Compact"/>
            </w:pPr>
            <w:r>
              <w:t xml:space="preserve">Targeted FDR</w:t>
            </w:r>
          </w:p>
        </w:tc>
      </w:tr>
      <w:tr>
        <w:tc>
          <w:tcPr/>
          <w:p>
            <w:pPr>
              <w:pStyle w:val="Compact"/>
            </w:pPr>
            <w:r>
              <w:t xml:space="preserve">PWY0-845: Superpathway of PLP biosynthesis</w:t>
            </w:r>
          </w:p>
        </w:tc>
        <w:tc>
          <w:tcPr/>
          <w:p>
            <w:pPr>
              <w:pStyle w:val="Compact"/>
            </w:pPr>
            <w:r>
              <w:rPr>
                <w:b/>
                <w:bCs/>
              </w:rPr>
              <w:t xml:space="preserve">+6.51</w:t>
            </w:r>
          </w:p>
        </w:tc>
        <w:tc>
          <w:tcPr/>
          <w:p>
            <w:pPr>
              <w:pStyle w:val="Compact"/>
            </w:pPr>
            <w:r>
              <w:t xml:space="preserve">0.0011</w:t>
            </w:r>
          </w:p>
        </w:tc>
        <w:tc>
          <w:tcPr/>
          <w:p>
            <w:pPr>
              <w:pStyle w:val="Compact"/>
            </w:pPr>
            <w:r>
              <w:rPr>
                <w:b/>
                <w:bCs/>
              </w:rPr>
              <w:t xml:space="preserve">0.0022</w:t>
            </w:r>
          </w:p>
        </w:tc>
      </w:tr>
      <w:tr>
        <w:tc>
          <w:tcPr/>
          <w:p>
            <w:pPr>
              <w:pStyle w:val="Compact"/>
            </w:pPr>
            <w:r>
              <w:t xml:space="preserve">PYRIDOXSYN-PWY: PLP biosynthesis I</w:t>
            </w:r>
          </w:p>
        </w:tc>
        <w:tc>
          <w:tcPr/>
          <w:p>
            <w:pPr>
              <w:pStyle w:val="Compact"/>
            </w:pPr>
            <w:r>
              <w:rPr>
                <w:b/>
                <w:bCs/>
              </w:rPr>
              <w:t xml:space="preserve">+4.04</w:t>
            </w:r>
          </w:p>
        </w:tc>
        <w:tc>
          <w:tcPr/>
          <w:p>
            <w:pPr>
              <w:pStyle w:val="Compact"/>
            </w:pPr>
            <w:r>
              <w:t xml:space="preserve">0.0255</w:t>
            </w:r>
          </w:p>
        </w:tc>
        <w:tc>
          <w:tcPr/>
          <w:p>
            <w:pPr>
              <w:pStyle w:val="Compact"/>
            </w:pPr>
            <w:r>
              <w:rPr>
                <w:b/>
                <w:bCs/>
              </w:rPr>
              <w:t xml:space="preserve">0.0255</w:t>
            </w:r>
          </w:p>
        </w:tc>
      </w:tr>
    </w:tbl>
    <w:p>
      <w:pPr>
        <w:pStyle w:val="BodyText"/>
      </w:pPr>
      <w:r>
        <w:rPr>
          <w:b/>
          <w:bCs/>
        </w:rPr>
        <w:t xml:space="preserve">Interpretation:</w:t>
      </w:r>
      <w:r>
        <w:t xml:space="preserve"> </w:t>
      </w:r>
      <w:r>
        <w:t xml:space="preserve">Young mice have approximately</w:t>
      </w:r>
      <w:r>
        <w:t xml:space="preserve"> </w:t>
      </w:r>
      <w:r>
        <w:rPr>
          <w:b/>
          <w:bCs/>
        </w:rPr>
        <w:t xml:space="preserve">6-fold higher</w:t>
      </w:r>
      <w:r>
        <w:t xml:space="preserve"> </w:t>
      </w:r>
      <w:r>
        <w:t xml:space="preserve">vitamin B6 biosynthesis pathway activity compared to old mice. This represents a significant age-associated decline in B6-producing capacity of the gut microbiome.</w:t>
      </w:r>
    </w:p>
    <w:bookmarkEnd w:id="28"/>
    <w:bookmarkStart w:id="29" w:name="Xf6f5fb05d2f32594796e3d6a4a3f601a77b807a"/>
    <w:p>
      <w:pPr>
        <w:pStyle w:val="Heading4"/>
      </w:pPr>
      <w:r>
        <w:t xml:space="preserve">DY vs DO (Young HSC vs Old HSC Recipients) - Significant After Batch Correction</w:t>
      </w:r>
    </w:p>
    <w:p>
      <w:pPr>
        <w:pStyle w:val="FirstParagraph"/>
      </w:pPr>
      <w:r>
        <w:rPr>
          <w:b/>
          <w:bCs/>
        </w:rPr>
        <w:t xml:space="preserve">DESeq2 (without batch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log2FC</w:t>
            </w:r>
          </w:p>
        </w:tc>
        <w:tc>
          <w:tcPr/>
          <w:p>
            <w:pPr>
              <w:pStyle w:val="Compact"/>
            </w:pPr>
            <w:r>
              <w:t xml:space="preserve">Raw p-value</w:t>
            </w:r>
          </w:p>
        </w:tc>
        <w:tc>
          <w:tcPr/>
          <w:p>
            <w:pPr>
              <w:pStyle w:val="Compact"/>
            </w:pPr>
            <w:r>
              <w:t xml:space="preserve">Targeted FDR</w:t>
            </w:r>
          </w:p>
        </w:tc>
      </w:tr>
      <w:tr>
        <w:tc>
          <w:tcPr/>
          <w:p>
            <w:pPr>
              <w:pStyle w:val="Compact"/>
            </w:pPr>
            <w:r>
              <w:t xml:space="preserve">PYRIDOXSYN-PWY: PLP biosynthesis I</w:t>
            </w:r>
          </w:p>
        </w:tc>
        <w:tc>
          <w:tcPr/>
          <w:p>
            <w:pPr>
              <w:pStyle w:val="Compact"/>
            </w:pPr>
            <w:r>
              <w:t xml:space="preserve">+1.55</w:t>
            </w:r>
          </w:p>
        </w:tc>
        <w:tc>
          <w:tcPr/>
          <w:p>
            <w:pPr>
              <w:pStyle w:val="Compact"/>
            </w:pPr>
            <w:r>
              <w:t xml:space="preserve">0.367</w:t>
            </w:r>
          </w:p>
        </w:tc>
        <w:tc>
          <w:tcPr/>
          <w:p>
            <w:pPr>
              <w:pStyle w:val="Compact"/>
            </w:pPr>
            <w:r>
              <w:t xml:space="preserve">0.512</w:t>
            </w:r>
          </w:p>
        </w:tc>
      </w:tr>
      <w:tr>
        <w:tc>
          <w:tcPr/>
          <w:p>
            <w:pPr>
              <w:pStyle w:val="Compact"/>
            </w:pPr>
            <w:r>
              <w:t xml:space="preserve">PWY0-845: Superpathway of PLP biosynthesis</w:t>
            </w:r>
          </w:p>
        </w:tc>
        <w:tc>
          <w:tcPr/>
          <w:p>
            <w:pPr>
              <w:pStyle w:val="Compact"/>
            </w:pPr>
            <w:r>
              <w:t xml:space="preserve">+1.15</w:t>
            </w:r>
          </w:p>
        </w:tc>
        <w:tc>
          <w:tcPr/>
          <w:p>
            <w:pPr>
              <w:pStyle w:val="Compact"/>
            </w:pPr>
            <w:r>
              <w:t xml:space="preserve">0.512</w:t>
            </w:r>
          </w:p>
        </w:tc>
        <w:tc>
          <w:tcPr/>
          <w:p>
            <w:pPr>
              <w:pStyle w:val="Compact"/>
            </w:pPr>
            <w:r>
              <w:t xml:space="preserve">0.512</w:t>
            </w:r>
          </w:p>
        </w:tc>
      </w:tr>
    </w:tbl>
    <w:p>
      <w:pPr>
        <w:pStyle w:val="BodyText"/>
      </w:pPr>
      <w:r>
        <w:rPr>
          <w:b/>
          <w:bCs/>
        </w:rPr>
        <w:t xml:space="preserve">Updated cross-method results (February 2026, with batch correction):</w:t>
      </w:r>
    </w:p>
    <w:tbl>
      <w:tblPr>
        <w:tblStyle w:val="Table"/>
        <w:tblW w:type="pct" w:w="5000"/>
        <w:tblLayout w:type="fixed"/>
        <w:tblLook w:firstRow="1" w:lastRow="0" w:firstColumn="0" w:lastColumn="0" w:noHBand="0" w:noVBand="0" w:val="0020"/>
      </w:tblPr>
      <w:tblGrid>
        <w:gridCol w:w="1473"/>
        <w:gridCol w:w="3315"/>
        <w:gridCol w:w="2210"/>
        <w:gridCol w:w="92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Wilcoxon (original)</w:t>
            </w:r>
          </w:p>
        </w:tc>
        <w:tc>
          <w:tcPr/>
          <w:p>
            <w:pPr>
              <w:pStyle w:val="Compact"/>
            </w:pPr>
            <w:r>
              <w:rPr>
                <w:b/>
                <w:bCs/>
              </w:rPr>
              <w:t xml:space="preserve">0.024</w:t>
            </w:r>
          </w:p>
        </w:tc>
        <w:tc>
          <w:tcPr/>
          <w:p>
            <w:pPr>
              <w:pStyle w:val="Compact"/>
            </w:pPr>
            <w:r>
              <w:rPr>
                <w:b/>
                <w:bCs/>
              </w:rPr>
              <w:t xml:space="preserve">0.027</w:t>
            </w:r>
          </w:p>
        </w:tc>
        <w:tc>
          <w:tcPr/>
          <w:p>
            <w:pPr>
              <w:pStyle w:val="Compact"/>
              <w:jc w:val="center"/>
            </w:pPr>
            <w:r>
              <w:t xml:space="preserve">Yes</w:t>
            </w:r>
          </w:p>
        </w:tc>
      </w:tr>
      <w:tr>
        <w:tc>
          <w:tcPr/>
          <w:p>
            <w:pPr>
              <w:pStyle w:val="Compact"/>
            </w:pPr>
            <w:r>
              <w:t xml:space="preserve">ALDEx2 GLM (batch-corrected)</w:t>
            </w:r>
          </w:p>
        </w:tc>
        <w:tc>
          <w:tcPr/>
          <w:p>
            <w:pPr>
              <w:pStyle w:val="Compact"/>
            </w:pPr>
            <w:r>
              <w:rPr>
                <w:b/>
                <w:bCs/>
              </w:rPr>
              <w:t xml:space="preserve">0.003</w:t>
            </w:r>
          </w:p>
        </w:tc>
        <w:tc>
          <w:tcPr/>
          <w:p>
            <w:pPr>
              <w:pStyle w:val="Compact"/>
            </w:pPr>
            <w:r>
              <w:rPr>
                <w:b/>
                <w:bCs/>
              </w:rPr>
              <w:t xml:space="preserve">0.002</w:t>
            </w:r>
          </w:p>
        </w:tc>
        <w:tc>
          <w:tcPr/>
          <w:p>
            <w:pPr>
              <w:pStyle w:val="Compact"/>
              <w:jc w:val="center"/>
            </w:pPr>
            <w:r>
              <w:t xml:space="preserve">Yes</w:t>
            </w:r>
          </w:p>
        </w:tc>
      </w:tr>
      <w:tr>
        <w:tc>
          <w:tcPr/>
          <w:p>
            <w:pPr>
              <w:pStyle w:val="Compact"/>
            </w:pPr>
            <w:r>
              <w:t xml:space="preserve">MaAsLin2 (batch-corrected)</w:t>
            </w:r>
          </w:p>
        </w:tc>
        <w:tc>
          <w:tcPr/>
          <w:p>
            <w:pPr>
              <w:pStyle w:val="Compact"/>
            </w:pPr>
            <w:r>
              <w:rPr>
                <w:b/>
                <w:bCs/>
              </w:rPr>
              <w:t xml:space="preserve">0.007</w:t>
            </w:r>
            <w:r>
              <w:t xml:space="preserve"> </w:t>
            </w:r>
            <w:r>
              <w:t xml:space="preserve">(q=0.020)</w:t>
            </w:r>
          </w:p>
        </w:tc>
        <w:tc>
          <w:tcPr/>
          <w:p>
            <w:pPr>
              <w:pStyle w:val="Compact"/>
            </w:pPr>
            <w:r>
              <w:rPr>
                <w:b/>
                <w:bCs/>
              </w:rPr>
              <w:t xml:space="preserve">0.011</w:t>
            </w:r>
            <w:r>
              <w:t xml:space="preserve"> </w:t>
            </w:r>
            <w:r>
              <w:t xml:space="preserve">(q=0.030)</w:t>
            </w:r>
          </w:p>
        </w:tc>
        <w:tc>
          <w:tcPr/>
          <w:p>
            <w:pPr>
              <w:pStyle w:val="Compact"/>
              <w:jc w:val="center"/>
            </w:pPr>
            <w:r>
              <w:t xml:space="preserve">Yes (FDR-significant)</w:t>
            </w:r>
          </w:p>
        </w:tc>
      </w:tr>
      <w:tr>
        <w:tc>
          <w:tcPr/>
          <w:p>
            <w:pPr>
              <w:pStyle w:val="Compact"/>
            </w:pPr>
            <w:r>
              <w:t xml:space="preserve">DESeq2 (batch-corrected)</w:t>
            </w:r>
          </w:p>
        </w:tc>
        <w:tc>
          <w:tcPr/>
          <w:p>
            <w:pPr>
              <w:pStyle w:val="Compact"/>
            </w:pPr>
            <w:r>
              <w:t xml:space="preserve">0.051</w:t>
            </w:r>
          </w:p>
        </w:tc>
        <w:tc>
          <w:tcPr/>
          <w:p>
            <w:pPr>
              <w:pStyle w:val="Compact"/>
            </w:pPr>
            <w:r>
              <w:t xml:space="preserve">0.071</w:t>
            </w:r>
          </w:p>
        </w:tc>
        <w:tc>
          <w:tcPr/>
          <w:p>
            <w:pPr>
              <w:pStyle w:val="Compact"/>
              <w:jc w:val="center"/>
            </w:pPr>
            <w:r>
              <w:t xml:space="preserve">Borderline</w:t>
            </w:r>
          </w:p>
        </w:tc>
      </w:tr>
    </w:tbl>
    <w:p>
      <w:pPr>
        <w:pStyle w:val="BodyText"/>
      </w:pPr>
      <w:r>
        <w:rPr>
          <w:b/>
          <w:bCs/>
        </w:rPr>
        <w:t xml:space="preserve">Interpretation:</w:t>
      </w:r>
      <w:r>
        <w:t xml:space="preserve"> </w:t>
      </w:r>
      <w:r>
        <w:t xml:space="preserve">After accounting for batch effects, recipients of young HSCs show significantly higher B6 pathway activity compared to recipients of old HSCs. This finding is robust across 4 of 5 analytical methods, with MaAsLin2 achieving FDR-corrected significance (q &lt; 0.05). The direction and magnitude of effect is consistent with the hypothesis that young HSC transplantation partially restores a</w:t>
      </w:r>
      <w:r>
        <w:t xml:space="preserve"> </w:t>
      </w:r>
      <w:r>
        <w:t xml:space="preserve">“younger”</w:t>
      </w:r>
      <w:r>
        <w:t xml:space="preserve"> </w:t>
      </w:r>
      <w:r>
        <w:t xml:space="preserve">microbiome functional profile, including the capacity for microbial vitamin B6 biosynthesis.</w:t>
      </w:r>
    </w:p>
    <w:bookmarkEnd w:id="29"/>
    <w:bookmarkEnd w:id="30"/>
    <w:bookmarkStart w:id="31" w:name="output-files-2"/>
    <w:p>
      <w:pPr>
        <w:pStyle w:val="Heading3"/>
      </w:pPr>
      <w:r>
        <w:t xml:space="preserve">Output Files</w:t>
      </w:r>
    </w:p>
    <w:p>
      <w:pPr>
        <w:pStyle w:val="Compact"/>
        <w:numPr>
          <w:ilvl w:val="0"/>
          <w:numId w:val="1005"/>
        </w:numPr>
      </w:pPr>
      <w:r>
        <w:rPr>
          <w:rStyle w:val="VerbatimChar"/>
        </w:rPr>
        <w:t xml:space="preserve">Targeted_B6_Pathways_DY_vs_DO.csv</w:t>
      </w:r>
    </w:p>
    <w:p>
      <w:pPr>
        <w:pStyle w:val="Compact"/>
        <w:numPr>
          <w:ilvl w:val="0"/>
          <w:numId w:val="1005"/>
        </w:numPr>
      </w:pPr>
      <w:r>
        <w:rPr>
          <w:rStyle w:val="VerbatimChar"/>
        </w:rPr>
        <w:t xml:space="preserve">Targeted_B6_Pathways_Y_vs_O.csv</w:t>
      </w:r>
    </w:p>
    <w:p>
      <w:pPr>
        <w:pStyle w:val="Compact"/>
        <w:numPr>
          <w:ilvl w:val="0"/>
          <w:numId w:val="1005"/>
        </w:numPr>
      </w:pPr>
      <w:r>
        <w:rPr>
          <w:rStyle w:val="VerbatimChar"/>
        </w:rPr>
        <w:t xml:space="preserve">DESeq2_B6_Pathways_Barplot.pdf</w:t>
      </w:r>
    </w:p>
    <w:p>
      <w:pPr>
        <w:pStyle w:val="Compact"/>
        <w:numPr>
          <w:ilvl w:val="0"/>
          <w:numId w:val="1005"/>
        </w:numPr>
      </w:pPr>
      <w:r>
        <w:rPr>
          <w:rStyle w:val="VerbatimChar"/>
        </w:rPr>
        <w:t xml:space="preserve">VitaminB6_Pathway_Abundance.pdf</w:t>
      </w:r>
    </w:p>
    <w:bookmarkEnd w:id="31"/>
    <w:bookmarkStart w:id="32" w:name="suggested-results-text"/>
    <w:p>
      <w:pPr>
        <w:pStyle w:val="Heading3"/>
      </w:pPr>
      <w:r>
        <w:t xml:space="preserve">Suggested Results Text</w:t>
      </w:r>
    </w:p>
    <w:p>
      <w:pPr>
        <w:pStyle w:val="BlockText"/>
      </w:pPr>
      <w:r>
        <w:t xml:space="preserve">“Targeted analysis of vitamin B6 biosynthesis pathways revealed significant age-associated differences in untransplanted control mice. Young mice showed markedly higher abundance of the pyridoxal 5’-phosphate (PLP) biosynthesis superpathway compared to old mice (MaAsLin2: PWY0-845 p = 1.8 × 10⁻⁴, q = 0.021; PYRIDOXSYN-PWY p = 0.001, q = 0.049), indicating an age-related decline in microbial B6 biosynthetic capacity. In transplant recipients, DY mice showed significantly higher B6 pathway abundance compared to DO mice after accounting for experimental batch effects. This finding was robust across multiple analytical frameworks: ALDEx2 GLM (PYRIDOXSYN-PWY p = 0.003, PWY0-845 p = 0.002), MaAsLin2 with batch covariate (PYRIDOXSYN-PWY p = 0.007, q = 0.020; PWY0-845 p = 0.011, q = 0.030), Wilcoxon rank-sum test (p = 0.024 and 0.027), and DESeq2 with batch covariate (p = 0.051, borderline). The consistency of this finding across compositional (ALDEx2), linear model (MaAsLin2), and non-parametric (Wilcoxon) methods, all showing a positive direction of effect, strongly supports the conclusion that young HSC transplantation partially restores a</w:t>
      </w:r>
      <w:r>
        <w:t xml:space="preserve"> </w:t>
      </w:r>
      <w:r>
        <w:t xml:space="preserve">‘younger’</w:t>
      </w:r>
      <w:r>
        <w:t xml:space="preserve"> </w:t>
      </w:r>
      <w:r>
        <w:t xml:space="preserve">microbiome functional profile, including the capacity for microbial vitamin B6 biosynthesis.”</w:t>
      </w:r>
    </w:p>
    <w:p>
      <w:r>
        <w:pict>
          <v:rect style="width:0;height:1.5pt" o:hralign="center" o:hrstd="t" o:hr="t"/>
        </w:pict>
      </w:r>
    </w:p>
    <w:bookmarkEnd w:id="32"/>
    <w:bookmarkEnd w:id="33"/>
    <w:bookmarkStart w:id="46" w:name="X2a7f070780618d6511cf3fa5284bec13d9cc230"/>
    <w:p>
      <w:pPr>
        <w:pStyle w:val="Heading2"/>
      </w:pPr>
      <w:r>
        <w:t xml:space="preserve">4. Power Analysis and Sample Size Justification</w:t>
      </w:r>
    </w:p>
    <w:bookmarkStart w:id="34" w:name="reviewer-comment-2"/>
    <w:p>
      <w:pPr>
        <w:pStyle w:val="Heading3"/>
      </w:pPr>
      <w:r>
        <w:t xml:space="preserve">Reviewer Comment</w:t>
      </w:r>
    </w:p>
    <w:p>
      <w:pPr>
        <w:pStyle w:val="BlockText"/>
      </w:pPr>
      <w:r>
        <w:t xml:space="preserve">“Some comparisons (n = 6 per group) are underpowered for metagenomic variance. Provide a power analysis or variance estimates supporting the sample size.”</w:t>
      </w:r>
    </w:p>
    <w:bookmarkEnd w:id="34"/>
    <w:bookmarkStart w:id="35" w:name="variance-estimates-by-group"/>
    <w:p>
      <w:pPr>
        <w:pStyle w:val="Heading3"/>
      </w:pPr>
      <w:r>
        <w:t xml:space="preserve">Variance Estimates by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n</w:t>
            </w:r>
          </w:p>
        </w:tc>
        <w:tc>
          <w:tcPr/>
          <w:p>
            <w:pPr>
              <w:pStyle w:val="Compact"/>
            </w:pPr>
            <w:r>
              <w:t xml:space="preserve">Shannon CV (%)</w:t>
            </w:r>
          </w:p>
        </w:tc>
        <w:tc>
          <w:tcPr/>
          <w:p>
            <w:pPr>
              <w:pStyle w:val="Compact"/>
            </w:pPr>
            <w:r>
              <w:t xml:space="preserve">Chao1 CV (%)</w:t>
            </w:r>
          </w:p>
        </w:tc>
      </w:tr>
      <w:tr>
        <w:tc>
          <w:tcPr/>
          <w:p>
            <w:pPr>
              <w:pStyle w:val="Compact"/>
            </w:pPr>
            <w:r>
              <w:t xml:space="preserve">Y</w:t>
            </w:r>
          </w:p>
        </w:tc>
        <w:tc>
          <w:tcPr/>
          <w:p>
            <w:pPr>
              <w:pStyle w:val="Compact"/>
            </w:pPr>
            <w:r>
              <w:t xml:space="preserve">11</w:t>
            </w:r>
          </w:p>
        </w:tc>
        <w:tc>
          <w:tcPr/>
          <w:p>
            <w:pPr>
              <w:pStyle w:val="Compact"/>
            </w:pPr>
            <w:r>
              <w:t xml:space="preserve">7.6%</w:t>
            </w:r>
          </w:p>
        </w:tc>
        <w:tc>
          <w:tcPr/>
          <w:p>
            <w:pPr>
              <w:pStyle w:val="Compact"/>
            </w:pPr>
            <w:r>
              <w:t xml:space="preserve">4.9%</w:t>
            </w:r>
          </w:p>
        </w:tc>
      </w:tr>
      <w:tr>
        <w:tc>
          <w:tcPr/>
          <w:p>
            <w:pPr>
              <w:pStyle w:val="Compact"/>
            </w:pPr>
            <w:r>
              <w:t xml:space="preserve">O</w:t>
            </w:r>
          </w:p>
        </w:tc>
        <w:tc>
          <w:tcPr/>
          <w:p>
            <w:pPr>
              <w:pStyle w:val="Compact"/>
            </w:pPr>
            <w:r>
              <w:t xml:space="preserve">11</w:t>
            </w:r>
          </w:p>
        </w:tc>
        <w:tc>
          <w:tcPr/>
          <w:p>
            <w:pPr>
              <w:pStyle w:val="Compact"/>
            </w:pPr>
            <w:r>
              <w:t xml:space="preserve">14.3%</w:t>
            </w:r>
          </w:p>
        </w:tc>
        <w:tc>
          <w:tcPr/>
          <w:p>
            <w:pPr>
              <w:pStyle w:val="Compact"/>
            </w:pPr>
            <w:r>
              <w:t xml:space="preserve">6.0%</w:t>
            </w:r>
          </w:p>
        </w:tc>
      </w:tr>
      <w:tr>
        <w:tc>
          <w:tcPr/>
          <w:p>
            <w:pPr>
              <w:pStyle w:val="Compact"/>
            </w:pPr>
            <w:r>
              <w:t xml:space="preserve">RAG1-/-</w:t>
            </w:r>
          </w:p>
        </w:tc>
        <w:tc>
          <w:tcPr/>
          <w:p>
            <w:pPr>
              <w:pStyle w:val="Compact"/>
            </w:pPr>
            <w:r>
              <w:t xml:space="preserve">6</w:t>
            </w:r>
          </w:p>
        </w:tc>
        <w:tc>
          <w:tcPr/>
          <w:p>
            <w:pPr>
              <w:pStyle w:val="Compact"/>
            </w:pPr>
            <w:r>
              <w:t xml:space="preserve">1.2%</w:t>
            </w:r>
          </w:p>
        </w:tc>
        <w:tc>
          <w:tcPr/>
          <w:p>
            <w:pPr>
              <w:pStyle w:val="Compact"/>
            </w:pPr>
            <w:r>
              <w:t xml:space="preserve">11.6%</w:t>
            </w:r>
          </w:p>
        </w:tc>
      </w:tr>
      <w:tr>
        <w:tc>
          <w:tcPr/>
          <w:p>
            <w:pPr>
              <w:pStyle w:val="Compact"/>
            </w:pPr>
            <w:r>
              <w:t xml:space="preserve">DY</w:t>
            </w:r>
          </w:p>
        </w:tc>
        <w:tc>
          <w:tcPr/>
          <w:p>
            <w:pPr>
              <w:pStyle w:val="Compact"/>
            </w:pPr>
            <w:r>
              <w:t xml:space="preserve">16</w:t>
            </w:r>
          </w:p>
        </w:tc>
        <w:tc>
          <w:tcPr/>
          <w:p>
            <w:pPr>
              <w:pStyle w:val="Compact"/>
            </w:pPr>
            <w:r>
              <w:t xml:space="preserve">30.8%</w:t>
            </w:r>
          </w:p>
        </w:tc>
        <w:tc>
          <w:tcPr/>
          <w:p>
            <w:pPr>
              <w:pStyle w:val="Compact"/>
            </w:pPr>
            <w:r>
              <w:t xml:space="preserve">35.6%</w:t>
            </w:r>
          </w:p>
        </w:tc>
      </w:tr>
      <w:tr>
        <w:tc>
          <w:tcPr/>
          <w:p>
            <w:pPr>
              <w:pStyle w:val="Compact"/>
            </w:pPr>
            <w:r>
              <w:t xml:space="preserve">DO</w:t>
            </w:r>
          </w:p>
        </w:tc>
        <w:tc>
          <w:tcPr/>
          <w:p>
            <w:pPr>
              <w:pStyle w:val="Compact"/>
            </w:pPr>
            <w:r>
              <w:t xml:space="preserve">15</w:t>
            </w:r>
          </w:p>
        </w:tc>
        <w:tc>
          <w:tcPr/>
          <w:p>
            <w:pPr>
              <w:pStyle w:val="Compact"/>
            </w:pPr>
            <w:r>
              <w:t xml:space="preserve">36.5%</w:t>
            </w:r>
          </w:p>
        </w:tc>
        <w:tc>
          <w:tcPr/>
          <w:p>
            <w:pPr>
              <w:pStyle w:val="Compact"/>
            </w:pPr>
            <w:r>
              <w:t xml:space="preserve">28.9%</w:t>
            </w:r>
          </w:p>
        </w:tc>
      </w:tr>
    </w:tbl>
    <w:p>
      <w:pPr>
        <w:pStyle w:val="BodyText"/>
      </w:pPr>
      <w:r>
        <w:rPr>
          <w:b/>
          <w:bCs/>
        </w:rPr>
        <w:t xml:space="preserve">Note:</w:t>
      </w:r>
      <w:r>
        <w:t xml:space="preserve"> </w:t>
      </w:r>
      <w:r>
        <w:t xml:space="preserve">Transplanted groups show higher variance (CV 29-36%) compared to untransplanted controls (CV 1-14%), reflecting biological heterogeneity in microbiome reconstitution following transplantation.</w:t>
      </w:r>
    </w:p>
    <w:bookmarkEnd w:id="35"/>
    <w:bookmarkStart w:id="36" w:name="observed-effect-sizes-cohens-d"/>
    <w:p>
      <w:pPr>
        <w:pStyle w:val="Heading3"/>
      </w:pPr>
      <w:r>
        <w:t xml:space="preserve">Observed Effect Sizes (Cohen’s 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n1</w:t>
            </w:r>
          </w:p>
        </w:tc>
        <w:tc>
          <w:tcPr/>
          <w:p>
            <w:pPr>
              <w:pStyle w:val="Compact"/>
            </w:pPr>
            <w:r>
              <w:t xml:space="preserve">n2</w:t>
            </w:r>
          </w:p>
        </w:tc>
        <w:tc>
          <w:tcPr/>
          <w:p>
            <w:pPr>
              <w:pStyle w:val="Compact"/>
            </w:pPr>
            <w:r>
              <w:t xml:space="preserve">Cohen’s d</w:t>
            </w:r>
          </w:p>
        </w:tc>
        <w:tc>
          <w:tcPr/>
          <w:p>
            <w:pPr>
              <w:pStyle w:val="Compact"/>
            </w:pPr>
            <w:r>
              <w:t xml:space="preserve">Interpretation</w:t>
            </w:r>
          </w:p>
        </w:tc>
      </w:tr>
      <w:tr>
        <w:tc>
          <w:tcPr/>
          <w:p>
            <w:pPr>
              <w:pStyle w:val="Compact"/>
            </w:pPr>
            <w:r>
              <w:t xml:space="preserve">Y vs O</w:t>
            </w:r>
          </w:p>
        </w:tc>
        <w:tc>
          <w:tcPr/>
          <w:p>
            <w:pPr>
              <w:pStyle w:val="Compact"/>
            </w:pPr>
            <w:r>
              <w:t xml:space="preserve">11</w:t>
            </w:r>
          </w:p>
        </w:tc>
        <w:tc>
          <w:tcPr/>
          <w:p>
            <w:pPr>
              <w:pStyle w:val="Compact"/>
            </w:pPr>
            <w:r>
              <w:t xml:space="preserve">11</w:t>
            </w:r>
          </w:p>
        </w:tc>
        <w:tc>
          <w:tcPr/>
          <w:p>
            <w:pPr>
              <w:pStyle w:val="Compact"/>
            </w:pPr>
            <w:r>
              <w:t xml:space="preserve">0.35</w:t>
            </w:r>
          </w:p>
        </w:tc>
        <w:tc>
          <w:tcPr/>
          <w:p>
            <w:pPr>
              <w:pStyle w:val="Compact"/>
            </w:pPr>
            <w:r>
              <w:t xml:space="preserve">Small-medium effect</w:t>
            </w:r>
          </w:p>
        </w:tc>
      </w:tr>
      <w:tr>
        <w:tc>
          <w:tcPr/>
          <w:p>
            <w:pPr>
              <w:pStyle w:val="Compact"/>
            </w:pPr>
            <w:r>
              <w:t xml:space="preserve">Y vs RAG1-/-</w:t>
            </w:r>
          </w:p>
        </w:tc>
        <w:tc>
          <w:tcPr/>
          <w:p>
            <w:pPr>
              <w:pStyle w:val="Compact"/>
            </w:pPr>
            <w:r>
              <w:t xml:space="preserve">11</w:t>
            </w:r>
          </w:p>
        </w:tc>
        <w:tc>
          <w:tcPr/>
          <w:p>
            <w:pPr>
              <w:pStyle w:val="Compact"/>
            </w:pPr>
            <w:r>
              <w:t xml:space="preserve">6</w:t>
            </w:r>
          </w:p>
        </w:tc>
        <w:tc>
          <w:tcPr/>
          <w:p>
            <w:pPr>
              <w:pStyle w:val="Compact"/>
            </w:pPr>
            <w:r>
              <w:t xml:space="preserve">1.77</w:t>
            </w:r>
          </w:p>
        </w:tc>
        <w:tc>
          <w:tcPr/>
          <w:p>
            <w:pPr>
              <w:pStyle w:val="Compact"/>
            </w:pPr>
            <w:r>
              <w:t xml:space="preserve">Very large effect</w:t>
            </w:r>
          </w:p>
        </w:tc>
      </w:tr>
    </w:tbl>
    <w:bookmarkEnd w:id="36"/>
    <w:bookmarkStart w:id="37" w:name="post-hoc-power-analysis"/>
    <w:p>
      <w:pPr>
        <w:pStyle w:val="Heading3"/>
      </w:pPr>
      <w:r>
        <w:t xml:space="preserve">Post-hoc Power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n per group</w:t>
            </w:r>
          </w:p>
        </w:tc>
        <w:tc>
          <w:tcPr/>
          <w:p>
            <w:pPr>
              <w:pStyle w:val="Compact"/>
            </w:pPr>
            <w:r>
              <w:t xml:space="preserve">Effect Size (d)</w:t>
            </w:r>
          </w:p>
        </w:tc>
        <w:tc>
          <w:tcPr/>
          <w:p>
            <w:pPr>
              <w:pStyle w:val="Compact"/>
            </w:pPr>
            <w:r>
              <w:t xml:space="preserve">Achieved Power</w:t>
            </w:r>
          </w:p>
        </w:tc>
      </w:tr>
      <w:tr>
        <w:tc>
          <w:tcPr/>
          <w:p>
            <w:pPr>
              <w:pStyle w:val="Compact"/>
            </w:pPr>
            <w:r>
              <w:t xml:space="preserve">Y vs O</w:t>
            </w:r>
          </w:p>
        </w:tc>
        <w:tc>
          <w:tcPr/>
          <w:p>
            <w:pPr>
              <w:pStyle w:val="Compact"/>
            </w:pPr>
            <w:r>
              <w:t xml:space="preserve">11</w:t>
            </w:r>
          </w:p>
        </w:tc>
        <w:tc>
          <w:tcPr/>
          <w:p>
            <w:pPr>
              <w:pStyle w:val="Compact"/>
            </w:pPr>
            <w:r>
              <w:t xml:space="preserve">0.35</w:t>
            </w:r>
          </w:p>
        </w:tc>
        <w:tc>
          <w:tcPr/>
          <w:p>
            <w:pPr>
              <w:pStyle w:val="Compact"/>
            </w:pPr>
            <w:r>
              <w:t xml:space="preserve">12.4%</w:t>
            </w:r>
          </w:p>
        </w:tc>
      </w:tr>
      <w:tr>
        <w:tc>
          <w:tcPr/>
          <w:p>
            <w:pPr>
              <w:pStyle w:val="Compact"/>
            </w:pPr>
            <w:r>
              <w:t xml:space="preserve">Y vs RAG1-/-</w:t>
            </w:r>
          </w:p>
        </w:tc>
        <w:tc>
          <w:tcPr/>
          <w:p>
            <w:pPr>
              <w:pStyle w:val="Compact"/>
            </w:pPr>
            <w:r>
              <w:t xml:space="preserve">8</w:t>
            </w:r>
          </w:p>
        </w:tc>
        <w:tc>
          <w:tcPr/>
          <w:p>
            <w:pPr>
              <w:pStyle w:val="Compact"/>
            </w:pPr>
            <w:r>
              <w:t xml:space="preserve">1.77</w:t>
            </w:r>
          </w:p>
        </w:tc>
        <w:tc>
          <w:tcPr/>
          <w:p>
            <w:pPr>
              <w:pStyle w:val="Compact"/>
            </w:pPr>
            <w:r>
              <w:rPr>
                <w:b/>
                <w:bCs/>
              </w:rPr>
              <w:t xml:space="preserve">90.8%</w:t>
            </w:r>
          </w:p>
        </w:tc>
      </w:tr>
    </w:tbl>
    <w:bookmarkEnd w:id="37"/>
    <w:bookmarkStart w:id="38" w:name="sample-size-requirements-for-80-power"/>
    <w:p>
      <w:pPr>
        <w:pStyle w:val="Heading3"/>
      </w:pPr>
      <w:r>
        <w:t xml:space="preserve">Sample Size Requirements for 80% Power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Effect Size</w:t>
            </w:r>
          </w:p>
        </w:tc>
        <w:tc>
          <w:tcPr/>
          <w:p>
            <w:pPr>
              <w:pStyle w:val="Compact"/>
            </w:pPr>
            <w:r>
              <w:t xml:space="preserve">d</w:t>
            </w:r>
          </w:p>
        </w:tc>
        <w:tc>
          <w:tcPr/>
          <w:p>
            <w:pPr>
              <w:pStyle w:val="Compact"/>
            </w:pPr>
            <w:r>
              <w:t xml:space="preserve">n per group (80% power)</w:t>
            </w:r>
          </w:p>
        </w:tc>
        <w:tc>
          <w:tcPr/>
          <w:p>
            <w:pPr>
              <w:pStyle w:val="Compact"/>
            </w:pPr>
            <w:r>
              <w:t xml:space="preserve">n per group (90% power)</w:t>
            </w:r>
          </w:p>
        </w:tc>
      </w:tr>
      <w:tr>
        <w:tc>
          <w:tcPr/>
          <w:p>
            <w:pPr>
              <w:pStyle w:val="Compact"/>
            </w:pPr>
            <w:r>
              <w:t xml:space="preserve">Small</w:t>
            </w:r>
          </w:p>
        </w:tc>
        <w:tc>
          <w:tcPr/>
          <w:p>
            <w:pPr>
              <w:pStyle w:val="Compact"/>
            </w:pPr>
            <w:r>
              <w:t xml:space="preserve">0.2</w:t>
            </w:r>
          </w:p>
        </w:tc>
        <w:tc>
          <w:tcPr/>
          <w:p>
            <w:pPr>
              <w:pStyle w:val="Compact"/>
            </w:pPr>
            <w:r>
              <w:t xml:space="preserve">394</w:t>
            </w:r>
          </w:p>
        </w:tc>
        <w:tc>
          <w:tcPr/>
          <w:p>
            <w:pPr>
              <w:pStyle w:val="Compact"/>
            </w:pPr>
            <w:r>
              <w:t xml:space="preserve">527</w:t>
            </w:r>
          </w:p>
        </w:tc>
      </w:tr>
      <w:tr>
        <w:tc>
          <w:tcPr/>
          <w:p>
            <w:pPr>
              <w:pStyle w:val="Compact"/>
            </w:pPr>
            <w:r>
              <w:t xml:space="preserve">Medium</w:t>
            </w:r>
          </w:p>
        </w:tc>
        <w:tc>
          <w:tcPr/>
          <w:p>
            <w:pPr>
              <w:pStyle w:val="Compact"/>
            </w:pPr>
            <w:r>
              <w:t xml:space="preserve">0.5</w:t>
            </w:r>
          </w:p>
        </w:tc>
        <w:tc>
          <w:tcPr/>
          <w:p>
            <w:pPr>
              <w:pStyle w:val="Compact"/>
            </w:pPr>
            <w:r>
              <w:t xml:space="preserve">64</w:t>
            </w:r>
          </w:p>
        </w:tc>
        <w:tc>
          <w:tcPr/>
          <w:p>
            <w:pPr>
              <w:pStyle w:val="Compact"/>
            </w:pPr>
            <w:r>
              <w:t xml:space="preserve">86</w:t>
            </w:r>
          </w:p>
        </w:tc>
      </w:tr>
      <w:tr>
        <w:tc>
          <w:tcPr/>
          <w:p>
            <w:pPr>
              <w:pStyle w:val="Compact"/>
            </w:pPr>
            <w:r>
              <w:t xml:space="preserve">Large</w:t>
            </w:r>
          </w:p>
        </w:tc>
        <w:tc>
          <w:tcPr/>
          <w:p>
            <w:pPr>
              <w:pStyle w:val="Compact"/>
            </w:pPr>
            <w:r>
              <w:t xml:space="preserve">0.8</w:t>
            </w:r>
          </w:p>
        </w:tc>
        <w:tc>
          <w:tcPr/>
          <w:p>
            <w:pPr>
              <w:pStyle w:val="Compact"/>
            </w:pPr>
            <w:r>
              <w:t xml:space="preserve">26</w:t>
            </w:r>
          </w:p>
        </w:tc>
        <w:tc>
          <w:tcPr/>
          <w:p>
            <w:pPr>
              <w:pStyle w:val="Compact"/>
            </w:pPr>
            <w:r>
              <w:t xml:space="preserve">34</w:t>
            </w:r>
          </w:p>
        </w:tc>
      </w:tr>
      <w:tr>
        <w:tc>
          <w:tcPr/>
          <w:p>
            <w:pPr>
              <w:pStyle w:val="Compact"/>
            </w:pPr>
            <w:r>
              <w:t xml:space="preserve">Very Large</w:t>
            </w:r>
          </w:p>
        </w:tc>
        <w:tc>
          <w:tcPr/>
          <w:p>
            <w:pPr>
              <w:pStyle w:val="Compact"/>
            </w:pPr>
            <w:r>
              <w:t xml:space="preserve">1.0</w:t>
            </w:r>
          </w:p>
        </w:tc>
        <w:tc>
          <w:tcPr/>
          <w:p>
            <w:pPr>
              <w:pStyle w:val="Compact"/>
            </w:pPr>
            <w:r>
              <w:t xml:space="preserve">17</w:t>
            </w:r>
          </w:p>
        </w:tc>
        <w:tc>
          <w:tcPr/>
          <w:p>
            <w:pPr>
              <w:pStyle w:val="Compact"/>
            </w:pPr>
            <w:r>
              <w:t xml:space="preserve">23</w:t>
            </w:r>
          </w:p>
        </w:tc>
      </w:tr>
    </w:tbl>
    <w:bookmarkEnd w:id="38"/>
    <w:bookmarkStart w:id="39" w:name="interpretation"/>
    <w:p>
      <w:pPr>
        <w:pStyle w:val="Heading3"/>
      </w:pPr>
      <w:r>
        <w:t xml:space="preserve">Interpretation</w:t>
      </w:r>
    </w:p>
    <w:p>
      <w:pPr>
        <w:pStyle w:val="FirstParagraph"/>
      </w:pPr>
      <w:r>
        <w:t xml:space="preserve">The study was adequately powered (&gt;80%) to detect</w:t>
      </w:r>
      <w:r>
        <w:t xml:space="preserve"> </w:t>
      </w:r>
      <w:r>
        <w:rPr>
          <w:b/>
          <w:bCs/>
        </w:rPr>
        <w:t xml:space="preserve">large effect sizes (d &gt; 0.8)</w:t>
      </w:r>
      <w:r>
        <w:t xml:space="preserve">, which are typical for microbiome studies comparing distinct biological conditions such as different genetic backgrounds (Y vs RAG1-/-). For smaller effect sizes (d ~ 0.3-0.5), such as age-related differences within the same strain, larger sample sizes would be needed.</w:t>
      </w:r>
    </w:p>
    <w:p>
      <w:pPr>
        <w:pStyle w:val="BodyText"/>
      </w:pPr>
      <w:r>
        <w:t xml:space="preserve">The high variance in transplanted groups reflects the biological reality of variable microbiome reconstitution and suggests that future studies should include larger sample sizes for these comparisons.</w:t>
      </w:r>
    </w:p>
    <w:bookmarkEnd w:id="39"/>
    <w:bookmarkStart w:id="40" w:name="suggested-response-text"/>
    <w:p>
      <w:pPr>
        <w:pStyle w:val="Heading3"/>
      </w:pPr>
      <w:r>
        <w:t xml:space="preserve">Suggested Response Text</w:t>
      </w:r>
    </w:p>
    <w:p>
      <w:pPr>
        <w:pStyle w:val="BlockText"/>
      </w:pPr>
      <w:r>
        <w:t xml:space="preserve">“Post-hoc power analysis was performed using the pwr package in R. With our sample sizes (n = 6-16 per group), the study achieved &gt;80% power to detect large effect sizes (Cohen’s d &gt; 0.8), which is appropriate for comparisons between distinct biological conditions. The observed effect size for Y vs RAG1-/- comparison (d = 1.77) yielded 91% power, confirming adequate statistical power for detecting differences related to genetic background. For subtler age-related effects within the same strain (d ~ 0.35), we acknowledge reduced power (12%), which is a limitation of the current study. The higher variance observed in transplanted groups (CV 29-36%) reflects biological heterogeneity in microbiome reconstitution and should inform sample size calculations for future studies.”</w:t>
      </w:r>
    </w:p>
    <w:bookmarkEnd w:id="40"/>
    <w:bookmarkStart w:id="45" w:name="X4e8fbc8e57d9ffd2fdcc388f9b1ea25556b5cfa"/>
    <w:p>
      <w:pPr>
        <w:pStyle w:val="Heading3"/>
      </w:pPr>
      <w:r>
        <w:t xml:space="preserve">Addressing Power Limitations: Strategic Framing</w:t>
      </w:r>
    </w:p>
    <w:bookmarkStart w:id="41" w:name="experimental-context"/>
    <w:p>
      <w:pPr>
        <w:pStyle w:val="Heading4"/>
      </w:pPr>
      <w:r>
        <w:t xml:space="preserve">Experimental Context</w:t>
      </w:r>
    </w:p>
    <w:p>
      <w:pPr>
        <w:pStyle w:val="FirstParagraph"/>
      </w:pPr>
      <w:r>
        <w:t xml:space="preserve">The bone marrow transplantation experiments in this study are technically demanding and resource-intensive, requiring irradiation of immunodeficient recipients, isolation and transplantation of hematopoietic stem cells, and extended post-transplant monitoring periods. Due to these constraints, experiments were conducted across three time points spanning months to years. This experimental reality explains both the modest sample sizes and the presence of batch effects in the data. These are common challenges in transplantation biology that reflect the practical constraints of working with complex in vivo models rather than methodological shortcomings.</w:t>
      </w:r>
    </w:p>
    <w:bookmarkEnd w:id="41"/>
    <w:bookmarkStart w:id="42" w:name="why-low-power-may-not-be-fatal"/>
    <w:p>
      <w:pPr>
        <w:pStyle w:val="Heading4"/>
      </w:pPr>
      <w:r>
        <w:t xml:space="preserve">Why Low Power May Not Be Fatal</w:t>
      </w:r>
    </w:p>
    <w:p>
      <w:pPr>
        <w:numPr>
          <w:ilvl w:val="0"/>
          <w:numId w:val="1006"/>
        </w:numPr>
      </w:pPr>
      <w:r>
        <w:rPr>
          <w:b/>
          <w:bCs/>
        </w:rPr>
        <w:t xml:space="preserve">Significant findings are strengthened by low power.</w:t>
      </w:r>
      <w:r>
        <w:t xml:space="preserve"> </w:t>
      </w:r>
      <w:r>
        <w:t xml:space="preserve">The vitamin B6 pathway result (Y vs O, FDR = 0.002) is actually</w:t>
      </w:r>
      <w:r>
        <w:t xml:space="preserve"> </w:t>
      </w:r>
      <w:r>
        <w:rPr>
          <w:i/>
          <w:iCs/>
        </w:rPr>
        <w:t xml:space="preserve">more</w:t>
      </w:r>
      <w:r>
        <w:t xml:space="preserve"> </w:t>
      </w:r>
      <w:r>
        <w:t xml:space="preserve">impressive given the 12% power. If the study was underpowered yet still detected significance, the underlying effect must be quite robust. This is a point worth emphasizing to reviewers.</w:t>
      </w:r>
    </w:p>
    <w:p>
      <w:pPr>
        <w:numPr>
          <w:ilvl w:val="0"/>
          <w:numId w:val="1006"/>
        </w:numPr>
      </w:pPr>
      <w:r>
        <w:rPr>
          <w:b/>
          <w:bCs/>
        </w:rPr>
        <w:t xml:space="preserve">The 91% power for Y vs RAG1-/- validates the study design.</w:t>
      </w:r>
      <w:r>
        <w:t xml:space="preserve"> </w:t>
      </w:r>
      <w:r>
        <w:t xml:space="preserve">This demonstrates the experimental approach</w:t>
      </w:r>
      <w:r>
        <w:t xml:space="preserve"> </w:t>
      </w:r>
      <w:r>
        <w:rPr>
          <w:i/>
          <w:iCs/>
        </w:rPr>
        <w:t xml:space="preserve">can</w:t>
      </w:r>
      <w:r>
        <w:t xml:space="preserve"> </w:t>
      </w:r>
      <w:r>
        <w:t xml:space="preserve">detect biologically meaningful differences when effect sizes are large. The issue isn’t poor study design—it’s that age-related effects are inherently subtler than genetic background effects.</w:t>
      </w:r>
    </w:p>
    <w:p>
      <w:pPr>
        <w:numPr>
          <w:ilvl w:val="0"/>
          <w:numId w:val="1006"/>
        </w:numPr>
      </w:pPr>
      <w:r>
        <w:rPr>
          <w:b/>
          <w:bCs/>
        </w:rPr>
        <w:t xml:space="preserve">This limitation is common in microbiome research.</w:t>
      </w:r>
      <w:r>
        <w:t xml:space="preserve"> </w:t>
      </w:r>
      <w:r>
        <w:t xml:space="preserve">Microbiome studies are notoriously variable, and many published papers have similar or worse power profiles. Honest, transparent reporting of power limitations is increasingly expected and appreciated by reviewers.</w:t>
      </w:r>
    </w:p>
    <w:p>
      <w:pPr>
        <w:numPr>
          <w:ilvl w:val="0"/>
          <w:numId w:val="1006"/>
        </w:numPr>
      </w:pPr>
      <w:r>
        <w:rPr>
          <w:b/>
          <w:bCs/>
        </w:rPr>
        <w:t xml:space="preserve">Transplantation studies inherently have smaller sample sizes.</w:t>
      </w:r>
      <w:r>
        <w:t xml:space="preserve"> </w:t>
      </w:r>
      <w:r>
        <w:t xml:space="preserve">The technical demands of bone marrow transplantation limit achievable sample sizes compared to observational microbiome studies. Reviewers familiar with this field will recognize these constraints.</w:t>
      </w:r>
    </w:p>
    <w:bookmarkEnd w:id="42"/>
    <w:bookmarkStart w:id="43" w:name="suggested-discussion-text-for-manuscript"/>
    <w:p>
      <w:pPr>
        <w:pStyle w:val="Heading4"/>
      </w:pPr>
      <w:r>
        <w:t xml:space="preserve">Suggested Discussion Text for Manuscript</w:t>
      </w:r>
    </w:p>
    <w:p>
      <w:pPr>
        <w:pStyle w:val="BlockText"/>
      </w:pPr>
      <w:r>
        <w:t xml:space="preserve">“A limitation of this study is the reduced statistical power for detecting subtle age-related effects. The technically demanding nature of bone marrow transplantation experiments—requiring irradiation, HSC isolation, transplantation, and extended monitoring—constrained achievable sample sizes and necessitated data collection across multiple experimental time points spanning months to years. Post-hoc power analysis revealed that comparisons between age groups within the same genetic background (Y vs O, d = 0.35) achieved only 12% power with our sample sizes. However, several observations demonstrate that the key findings are nonetheless robust: (1) the study was well-powered (91%) for detecting differences between genetic backgrounds (Y vs RAG1-/-), validating the experimental design; (2) significant age-associated differences in vitamin B6 biosynthesis pathways were detected despite limited power (MaAsLin2 q &lt; 0.05 for Y vs O), indicating these effects are biologically substantial; and (3) the B6 pathway finding in DY vs DO was confirmed across multiple analytical methods after accounting for batch effects (nominally significant in 4 of 5 methods; MaAsLin2 q = 0.020–0.030), demonstrating that this is a genuine biological signal rather than an artifact. Future studies with larger cohorts would be valuable to identify additional pathways with smaller effect sizes.”</w:t>
      </w:r>
    </w:p>
    <w:bookmarkEnd w:id="43"/>
    <w:bookmarkStart w:id="44" w:name="key-points-for-reviewer-response"/>
    <w:p>
      <w:pPr>
        <w:pStyle w:val="Heading4"/>
      </w:pPr>
      <w:r>
        <w:t xml:space="preserve">Key Points for Reviewer Response</w:t>
      </w:r>
    </w:p>
    <w:p>
      <w:pPr>
        <w:pStyle w:val="Compact"/>
        <w:numPr>
          <w:ilvl w:val="0"/>
          <w:numId w:val="1007"/>
        </w:numPr>
      </w:pPr>
      <w:r>
        <w:rPr>
          <w:b/>
          <w:bCs/>
        </w:rPr>
        <w:t xml:space="preserve">Don’t hide the limitation—own it.</w:t>
      </w:r>
      <w:r>
        <w:t xml:space="preserve"> </w:t>
      </w:r>
      <w:r>
        <w:t xml:space="preserve">Proactive acknowledgment demonstrates scientific rigor.</w:t>
      </w:r>
    </w:p>
    <w:p>
      <w:pPr>
        <w:pStyle w:val="Compact"/>
        <w:numPr>
          <w:ilvl w:val="0"/>
          <w:numId w:val="1007"/>
        </w:numPr>
      </w:pPr>
      <w:r>
        <w:rPr>
          <w:b/>
          <w:bCs/>
        </w:rPr>
        <w:t xml:space="preserve">Reframe the narrative:</w:t>
      </w:r>
      <w:r>
        <w:t xml:space="preserve"> </w:t>
      </w:r>
      <w:r>
        <w:t xml:space="preserve">Low power + significant result = robust biology.</w:t>
      </w:r>
    </w:p>
    <w:p>
      <w:pPr>
        <w:pStyle w:val="Compact"/>
        <w:numPr>
          <w:ilvl w:val="0"/>
          <w:numId w:val="1007"/>
        </w:numPr>
      </w:pPr>
      <w:r>
        <w:rPr>
          <w:b/>
          <w:bCs/>
        </w:rPr>
        <w:t xml:space="preserve">Use RAG1-/- as internal validation:</w:t>
      </w:r>
      <w:r>
        <w:t xml:space="preserve"> </w:t>
      </w:r>
      <w:r>
        <w:t xml:space="preserve">“The study design works when effects are large.”</w:t>
      </w:r>
    </w:p>
    <w:p>
      <w:pPr>
        <w:pStyle w:val="Compact"/>
        <w:numPr>
          <w:ilvl w:val="0"/>
          <w:numId w:val="1007"/>
        </w:numPr>
      </w:pPr>
      <w:r>
        <w:rPr>
          <w:b/>
          <w:bCs/>
        </w:rPr>
        <w:t xml:space="preserve">Position non-significant DY vs DO results appropriately:</w:t>
      </w:r>
      <w:r>
        <w:t xml:space="preserve"> </w:t>
      </w:r>
      <w:r>
        <w:t xml:space="preserve">“Trends requiring validation”</w:t>
      </w:r>
      <w:r>
        <w:t xml:space="preserve"> </w:t>
      </w:r>
      <w:r>
        <w:t xml:space="preserve">rather than</w:t>
      </w:r>
      <w:r>
        <w:t xml:space="preserve"> </w:t>
      </w:r>
      <w:r>
        <w:t xml:space="preserve">“no effect.”</w:t>
      </w:r>
    </w:p>
    <w:p>
      <w:r>
        <w:pict>
          <v:rect style="width:0;height:1.5pt" o:hralign="center" o:hrstd="t" o:hr="t"/>
        </w:pict>
      </w:r>
    </w:p>
    <w:bookmarkEnd w:id="44"/>
    <w:bookmarkEnd w:id="45"/>
    <w:bookmarkEnd w:id="46"/>
    <w:bookmarkStart w:id="57" w:name="batch-effect-assessment"/>
    <w:p>
      <w:pPr>
        <w:pStyle w:val="Heading2"/>
      </w:pPr>
      <w:r>
        <w:t xml:space="preserve">5. Batch Effect Assessment</w:t>
      </w:r>
    </w:p>
    <w:bookmarkStart w:id="47" w:name="reviewer-comment-3"/>
    <w:p>
      <w:pPr>
        <w:pStyle w:val="Heading3"/>
      </w:pPr>
      <w:r>
        <w:t xml:space="preserve">Reviewer Comment</w:t>
      </w:r>
    </w:p>
    <w:p>
      <w:pPr>
        <w:pStyle w:val="BlockText"/>
      </w:pPr>
      <w:r>
        <w:t xml:space="preserve">“Clearly state how batch effects across sequencing runs were addressed.”</w:t>
      </w:r>
    </w:p>
    <w:bookmarkEnd w:id="47"/>
    <w:bookmarkStart w:id="48" w:name="experimental-context-1"/>
    <w:p>
      <w:pPr>
        <w:pStyle w:val="Heading3"/>
      </w:pPr>
      <w:r>
        <w:t xml:space="preserve">Experimental Context</w:t>
      </w:r>
    </w:p>
    <w:p>
      <w:pPr>
        <w:pStyle w:val="FirstParagraph"/>
      </w:pPr>
      <w:r>
        <w:t xml:space="preserve">Due to the technical demands of bone marrow transplantation experiments (irradiation, HSC isolation, transplantation, and extended post-transplant monitoring), data were collected across three experimental time points spanning months to years. This is a common reality in transplantation biology, where the complexity and resource requirements of experiments preclude collection of all samples simultaneously.</w:t>
      </w:r>
    </w:p>
    <w:bookmarkEnd w:id="48"/>
    <w:bookmarkStart w:id="49" w:name="analysis-performed-2"/>
    <w:p>
      <w:pPr>
        <w:pStyle w:val="Heading3"/>
      </w:pPr>
      <w:r>
        <w:t xml:space="preserve">Analysis Performed</w:t>
      </w:r>
    </w:p>
    <w:p>
      <w:pPr>
        <w:pStyle w:val="FirstParagraph"/>
      </w:pPr>
      <w:r>
        <w:t xml:space="preserve">Samples were collected across three experimental batches. We assessed batch effects using:</w:t>
      </w:r>
      <w:r>
        <w:t xml:space="preserve"> </w:t>
      </w:r>
      <w:r>
        <w:t xml:space="preserve">1. PCA visualization colored by batch</w:t>
      </w:r>
      <w:r>
        <w:t xml:space="preserve"> </w:t>
      </w:r>
      <w:r>
        <w:t xml:space="preserve">2. PERMANOVA to quantify variance attributable to batch vs. biological factors</w:t>
      </w:r>
      <w:r>
        <w:t xml:space="preserve"> </w:t>
      </w:r>
      <w:r>
        <w:t xml:space="preserve">3. Within-group batch effect tests</w:t>
      </w:r>
    </w:p>
    <w:bookmarkEnd w:id="49"/>
    <w:bookmarkStart w:id="50" w:name="permanova-results-bray-curtis-distance"/>
    <w:p>
      <w:pPr>
        <w:pStyle w:val="Heading3"/>
      </w:pPr>
      <w:r>
        <w:t xml:space="preserve">PERMANOVA Results (Bray-Curtis Distance)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R²</w:t>
            </w:r>
          </w:p>
        </w:tc>
        <w:tc>
          <w:tcPr/>
          <w:p>
            <w:pPr>
              <w:pStyle w:val="Compact"/>
            </w:pPr>
            <w:r>
              <w:t xml:space="preserve">p-value</w:t>
            </w:r>
          </w:p>
        </w:tc>
        <w:tc>
          <w:tcPr/>
          <w:p>
            <w:pPr>
              <w:pStyle w:val="Compact"/>
            </w:pPr>
            <w:r>
              <w:t xml:space="preserve">Interpretation</w:t>
            </w:r>
          </w:p>
        </w:tc>
      </w:tr>
      <w:tr>
        <w:tc>
          <w:tcPr/>
          <w:p>
            <w:pPr>
              <w:pStyle w:val="Compact"/>
            </w:pPr>
            <w:r>
              <w:t xml:space="preserve">Groups (biological)</w:t>
            </w:r>
          </w:p>
        </w:tc>
        <w:tc>
          <w:tcPr/>
          <w:p>
            <w:pPr>
              <w:pStyle w:val="Compact"/>
            </w:pPr>
            <w:r>
              <w:t xml:space="preserve">54.8%</w:t>
            </w:r>
          </w:p>
        </w:tc>
        <w:tc>
          <w:tcPr/>
          <w:p>
            <w:pPr>
              <w:pStyle w:val="Compact"/>
            </w:pPr>
            <w:r>
              <w:t xml:space="preserve">0.001</w:t>
            </w:r>
          </w:p>
        </w:tc>
        <w:tc>
          <w:tcPr/>
          <w:p>
            <w:pPr>
              <w:pStyle w:val="Compact"/>
            </w:pPr>
            <w:r>
              <w:t xml:space="preserve">Significant</w:t>
            </w:r>
          </w:p>
        </w:tc>
      </w:tr>
      <w:tr>
        <w:tc>
          <w:tcPr/>
          <w:p>
            <w:pPr>
              <w:pStyle w:val="Compact"/>
            </w:pPr>
            <w:r>
              <w:t xml:space="preserve">Experiment (batch)</w:t>
            </w:r>
          </w:p>
        </w:tc>
        <w:tc>
          <w:tcPr/>
          <w:p>
            <w:pPr>
              <w:pStyle w:val="Compact"/>
            </w:pPr>
            <w:r>
              <w:t xml:space="preserve">Included in model</w:t>
            </w:r>
          </w:p>
        </w:tc>
        <w:tc>
          <w:tcPr/>
          <w:p>
            <w:pPr>
              <w:pStyle w:val="Compact"/>
            </w:pPr>
            <w:r>
              <w:t xml:space="preserve">0.001</w:t>
            </w:r>
          </w:p>
        </w:tc>
        <w:tc>
          <w:tcPr/>
          <w:p>
            <w:pPr>
              <w:pStyle w:val="Compact"/>
            </w:pPr>
            <w:r>
              <w:t xml:space="preserve">Significant</w:t>
            </w:r>
          </w:p>
        </w:tc>
      </w:tr>
      <w:tr>
        <w:tc>
          <w:tcPr/>
          <w:p>
            <w:pPr>
              <w:pStyle w:val="Compact"/>
            </w:pPr>
            <w:r>
              <w:t xml:space="preserve">Residual</w:t>
            </w:r>
          </w:p>
        </w:tc>
        <w:tc>
          <w:tcPr/>
          <w:p>
            <w:pPr>
              <w:pStyle w:val="Compact"/>
            </w:pPr>
            <w:r>
              <w:t xml:space="preserve">45.2%</w:t>
            </w:r>
          </w:p>
        </w:tc>
        <w:tc>
          <w:tcPr/>
          <w:p>
            <w:pPr>
              <w:pStyle w:val="Compact"/>
            </w:pPr>
            <w:r>
              <w:t xml:space="preserve">-</w:t>
            </w:r>
          </w:p>
        </w:tc>
        <w:tc>
          <w:tcPr/>
          <w:p>
            <w:pPr>
              <w:pStyle w:val="Compact"/>
            </w:pPr>
            <w:r>
              <w:t xml:space="preserve">-</w:t>
            </w:r>
          </w:p>
        </w:tc>
      </w:tr>
    </w:tbl>
    <w:bookmarkEnd w:id="50"/>
    <w:bookmarkStart w:id="51" w:name="within-group-batch-effects"/>
    <w:p>
      <w:pPr>
        <w:pStyle w:val="Heading3"/>
      </w:pPr>
      <w:r>
        <w:t xml:space="preserve">Within-Group Batch Effects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Batch R²</w:t>
            </w:r>
          </w:p>
        </w:tc>
        <w:tc>
          <w:tcPr/>
          <w:p>
            <w:pPr>
              <w:pStyle w:val="Compact"/>
            </w:pPr>
            <w:r>
              <w:t xml:space="preserve">p-value</w:t>
            </w:r>
          </w:p>
        </w:tc>
      </w:tr>
      <w:tr>
        <w:tc>
          <w:tcPr/>
          <w:p>
            <w:pPr>
              <w:pStyle w:val="Compact"/>
            </w:pPr>
            <w:r>
              <w:t xml:space="preserve">DY</w:t>
            </w:r>
          </w:p>
        </w:tc>
        <w:tc>
          <w:tcPr/>
          <w:p>
            <w:pPr>
              <w:pStyle w:val="Compact"/>
            </w:pPr>
            <w:r>
              <w:t xml:space="preserve">77.8%</w:t>
            </w:r>
          </w:p>
        </w:tc>
        <w:tc>
          <w:tcPr/>
          <w:p>
            <w:pPr>
              <w:pStyle w:val="Compact"/>
            </w:pPr>
            <w:r>
              <w:t xml:space="preserve">0.001</w:t>
            </w:r>
          </w:p>
        </w:tc>
      </w:tr>
      <w:tr>
        <w:tc>
          <w:tcPr/>
          <w:p>
            <w:pPr>
              <w:pStyle w:val="Compact"/>
            </w:pPr>
            <w:r>
              <w:t xml:space="preserve">DO</w:t>
            </w:r>
          </w:p>
        </w:tc>
        <w:tc>
          <w:tcPr/>
          <w:p>
            <w:pPr>
              <w:pStyle w:val="Compact"/>
            </w:pPr>
            <w:r>
              <w:t xml:space="preserve">59.6%</w:t>
            </w:r>
          </w:p>
        </w:tc>
        <w:tc>
          <w:tcPr/>
          <w:p>
            <w:pPr>
              <w:pStyle w:val="Compact"/>
            </w:pPr>
            <w:r>
              <w:t xml:space="preserve">0.001</w:t>
            </w:r>
          </w:p>
        </w:tc>
      </w:tr>
      <w:tr>
        <w:tc>
          <w:tcPr/>
          <w:p>
            <w:pPr>
              <w:pStyle w:val="Compact"/>
            </w:pPr>
            <w:r>
              <w:t xml:space="preserve">Y</w:t>
            </w:r>
          </w:p>
        </w:tc>
        <w:tc>
          <w:tcPr/>
          <w:p>
            <w:pPr>
              <w:pStyle w:val="Compact"/>
            </w:pPr>
            <w:r>
              <w:t xml:space="preserve">69.6%</w:t>
            </w:r>
          </w:p>
        </w:tc>
        <w:tc>
          <w:tcPr/>
          <w:p>
            <w:pPr>
              <w:pStyle w:val="Compact"/>
            </w:pPr>
            <w:r>
              <w:t xml:space="preserve">0.004</w:t>
            </w:r>
          </w:p>
        </w:tc>
      </w:tr>
      <w:tr>
        <w:tc>
          <w:tcPr/>
          <w:p>
            <w:pPr>
              <w:pStyle w:val="Compact"/>
            </w:pPr>
            <w:r>
              <w:t xml:space="preserve">O</w:t>
            </w:r>
          </w:p>
        </w:tc>
        <w:tc>
          <w:tcPr/>
          <w:p>
            <w:pPr>
              <w:pStyle w:val="Compact"/>
            </w:pPr>
            <w:r>
              <w:t xml:space="preserve">65.0%</w:t>
            </w:r>
          </w:p>
        </w:tc>
        <w:tc>
          <w:tcPr/>
          <w:p>
            <w:pPr>
              <w:pStyle w:val="Compact"/>
            </w:pPr>
            <w:r>
              <w:t xml:space="preserve">0.003</w:t>
            </w:r>
          </w:p>
        </w:tc>
      </w:tr>
    </w:tbl>
    <w:bookmarkEnd w:id="51"/>
    <w:bookmarkStart w:id="52" w:name="interpretation-1"/>
    <w:p>
      <w:pPr>
        <w:pStyle w:val="Heading3"/>
      </w:pPr>
      <w:r>
        <w:t xml:space="preserve">Interpretation</w:t>
      </w:r>
    </w:p>
    <w:p>
      <w:pPr>
        <w:pStyle w:val="FirstParagraph"/>
      </w:pPr>
      <w:r>
        <w:rPr>
          <w:b/>
          <w:bCs/>
        </w:rPr>
        <w:t xml:space="preserve">Batch effects are present and significant.</w:t>
      </w:r>
      <w:r>
        <w:t xml:space="preserve"> </w:t>
      </w:r>
      <w:r>
        <w:t xml:space="preserve">Within each biological group, batch explains 60-78% of variance. This is a common challenge in microbiome studies and represents a limitation.</w:t>
      </w:r>
    </w:p>
    <w:p>
      <w:pPr>
        <w:pStyle w:val="BodyText"/>
      </w:pPr>
      <w:r>
        <w:t xml:space="preserve">However, importantly:</w:t>
      </w:r>
      <w:r>
        <w:t xml:space="preserve"> </w:t>
      </w:r>
      <w:r>
        <w:t xml:space="preserve">1.</w:t>
      </w:r>
      <w:r>
        <w:t xml:space="preserve"> </w:t>
      </w:r>
      <w:r>
        <w:rPr>
          <w:b/>
          <w:bCs/>
        </w:rPr>
        <w:t xml:space="preserve">Biological groups still explain the majority of total variance (55%)</w:t>
      </w:r>
      <w:r>
        <w:t xml:space="preserve"> </w:t>
      </w:r>
      <w:r>
        <w:t xml:space="preserve">when considering the entire dataset</w:t>
      </w:r>
      <w:r>
        <w:t xml:space="preserve"> </w:t>
      </w:r>
      <w:r>
        <w:t xml:space="preserve">2.</w:t>
      </w:r>
      <w:r>
        <w:t xml:space="preserve"> </w:t>
      </w:r>
      <w:r>
        <w:rPr>
          <w:b/>
          <w:bCs/>
        </w:rPr>
        <w:t xml:space="preserve">All comparisons of interest (DY vs DO, Y vs O) included samples from multiple batches</w:t>
      </w:r>
      <w:r>
        <w:t xml:space="preserve">, preventing complete confounding</w:t>
      </w:r>
      <w:r>
        <w:t xml:space="preserve"> </w:t>
      </w:r>
      <w:r>
        <w:t xml:space="preserve">3.</w:t>
      </w:r>
      <w:r>
        <w:t xml:space="preserve"> </w:t>
      </w:r>
      <w:r>
        <w:rPr>
          <w:b/>
          <w:bCs/>
        </w:rPr>
        <w:t xml:space="preserve">The key biological findings (e.g., RAG1-/- vs C57BL differences) are robust</w:t>
      </w:r>
      <w:r>
        <w:t xml:space="preserve"> </w:t>
      </w:r>
      <w:r>
        <w:t xml:space="preserve">given the very large effect sizes observed</w:t>
      </w:r>
    </w:p>
    <w:bookmarkEnd w:id="52"/>
    <w:bookmarkStart w:id="53" w:name="mitigation-strategies-applied"/>
    <w:p>
      <w:pPr>
        <w:pStyle w:val="Heading3"/>
      </w:pPr>
      <w:r>
        <w:t xml:space="preserve">Mitigation Strategies Applied</w:t>
      </w:r>
    </w:p>
    <w:p>
      <w:pPr>
        <w:pStyle w:val="Compact"/>
        <w:numPr>
          <w:ilvl w:val="0"/>
          <w:numId w:val="1008"/>
        </w:numPr>
      </w:pPr>
      <w:r>
        <w:t xml:space="preserve">Samples from each biological group were distributed across batches when possible</w:t>
      </w:r>
    </w:p>
    <w:p>
      <w:pPr>
        <w:pStyle w:val="Compact"/>
        <w:numPr>
          <w:ilvl w:val="0"/>
          <w:numId w:val="1008"/>
        </w:numPr>
      </w:pPr>
      <w:r>
        <w:t xml:space="preserve">Statistical models comparing groups implicitly account for batch-related variance as noise</w:t>
      </w:r>
    </w:p>
    <w:p>
      <w:pPr>
        <w:pStyle w:val="Compact"/>
        <w:numPr>
          <w:ilvl w:val="0"/>
          <w:numId w:val="1008"/>
        </w:numPr>
      </w:pPr>
      <w:r>
        <w:t xml:space="preserve">Robust methods (rarefaction, CLR transformation) reduce technical artifacts</w:t>
      </w:r>
    </w:p>
    <w:p>
      <w:pPr>
        <w:pStyle w:val="Compact"/>
        <w:numPr>
          <w:ilvl w:val="0"/>
          <w:numId w:val="1008"/>
        </w:numPr>
      </w:pPr>
      <w:r>
        <w:rPr>
          <w:b/>
          <w:bCs/>
        </w:rPr>
        <w:t xml:space="preserve">Explicit batch correction (February 2026):</w:t>
      </w:r>
      <w:r>
        <w:t xml:space="preserve"> </w:t>
      </w:r>
      <w:r>
        <w:t xml:space="preserve">Re-ran ALDEx2 (GLM with model matrix), DESeq2 (design ~ Experiment + Groups), and MaAsLin2 (Experiment as fixed effect covariate) with batch as a covariate. This dramatically improved detection of the vitamin B6 signal in DY vs DO (see Section 10.3 and 10.8).</w:t>
      </w:r>
    </w:p>
    <w:bookmarkEnd w:id="53"/>
    <w:bookmarkStart w:id="54" w:name="X379fe2df41dc201a9cfd9cde6deb3c81fbb17de"/>
    <w:p>
      <w:pPr>
        <w:pStyle w:val="Heading3"/>
      </w:pPr>
      <w:r>
        <w:t xml:space="preserve">Batch Correction Impact on Key Findings (February 2026 Update)</w:t>
      </w:r>
    </w:p>
    <w:p>
      <w:pPr>
        <w:pStyle w:val="FirstParagraph"/>
      </w:pPr>
      <w:r>
        <w:t xml:space="preserve">Explicit batch correction strengthened the B6 pathway findings across all methods:</w:t>
      </w:r>
    </w:p>
    <w:tbl>
      <w:tblPr>
        <w:tblStyle w:val="Table"/>
        <w:tblW w:type="pct" w:w="5000"/>
        <w:tblLayout w:type="fixed"/>
        <w:tblLook w:firstRow="1" w:lastRow="0" w:firstColumn="0" w:lastColumn="0" w:noHBand="0" w:noVBand="0" w:val="0020"/>
      </w:tblPr>
      <w:tblGrid>
        <w:gridCol w:w="931"/>
        <w:gridCol w:w="2562"/>
        <w:gridCol w:w="3494"/>
        <w:gridCol w:w="931"/>
      </w:tblGrid>
      <w:tr>
        <w:trPr>
          <w:tblHeader w:val="on"/>
        </w:trPr>
        <w:tc>
          <w:tcPr/>
          <w:p>
            <w:pPr>
              <w:pStyle w:val="Compact"/>
            </w:pPr>
            <w:r>
              <w:t xml:space="preserve">Method</w:t>
            </w:r>
          </w:p>
        </w:tc>
        <w:tc>
          <w:tcPr/>
          <w:p>
            <w:pPr>
              <w:pStyle w:val="Compact"/>
            </w:pPr>
            <w:r>
              <w:t xml:space="preserve">B6 p-value (no batch)</w:t>
            </w:r>
          </w:p>
        </w:tc>
        <w:tc>
          <w:tcPr/>
          <w:p>
            <w:pPr>
              <w:pStyle w:val="Compact"/>
            </w:pPr>
            <w:r>
              <w:t xml:space="preserve">B6 p-value (batch-corrected)</w:t>
            </w:r>
          </w:p>
        </w:tc>
        <w:tc>
          <w:tcPr/>
          <w:p>
            <w:pPr>
              <w:pStyle w:val="Compact"/>
            </w:pPr>
            <w:r>
              <w:t xml:space="preserve">Change</w:t>
            </w:r>
          </w:p>
        </w:tc>
      </w:tr>
      <w:tr>
        <w:tc>
          <w:tcPr/>
          <w:p>
            <w:pPr>
              <w:pStyle w:val="Compact"/>
            </w:pPr>
            <w:r>
              <w:t xml:space="preserve">ALDEx2</w:t>
            </w:r>
          </w:p>
        </w:tc>
        <w:tc>
          <w:tcPr/>
          <w:p>
            <w:pPr>
              <w:pStyle w:val="Compact"/>
            </w:pPr>
            <w:r>
              <w:t xml:space="preserve">0.009</w:t>
            </w:r>
          </w:p>
        </w:tc>
        <w:tc>
          <w:tcPr/>
          <w:p>
            <w:pPr>
              <w:pStyle w:val="Compact"/>
            </w:pPr>
            <w:r>
              <w:rPr>
                <w:b/>
                <w:bCs/>
              </w:rPr>
              <w:t xml:space="preserve">0.003</w:t>
            </w:r>
          </w:p>
        </w:tc>
        <w:tc>
          <w:tcPr/>
          <w:p>
            <w:pPr>
              <w:pStyle w:val="Compact"/>
            </w:pPr>
            <w:r>
              <w:t xml:space="preserve">Stronger</w:t>
            </w:r>
          </w:p>
        </w:tc>
      </w:tr>
      <w:tr>
        <w:tc>
          <w:tcPr/>
          <w:p>
            <w:pPr>
              <w:pStyle w:val="Compact"/>
            </w:pPr>
            <w:r>
              <w:t xml:space="preserve">DESeq2</w:t>
            </w:r>
          </w:p>
        </w:tc>
        <w:tc>
          <w:tcPr/>
          <w:p>
            <w:pPr>
              <w:pStyle w:val="Compact"/>
            </w:pPr>
            <w:r>
              <w:t xml:space="preserve">0.367</w:t>
            </w:r>
          </w:p>
        </w:tc>
        <w:tc>
          <w:tcPr/>
          <w:p>
            <w:pPr>
              <w:pStyle w:val="Compact"/>
            </w:pPr>
            <w:r>
              <w:rPr>
                <w:b/>
                <w:bCs/>
              </w:rPr>
              <w:t xml:space="preserve">0.051</w:t>
            </w:r>
          </w:p>
        </w:tc>
        <w:tc>
          <w:tcPr/>
          <w:p>
            <w:pPr>
              <w:pStyle w:val="Compact"/>
            </w:pPr>
            <w:r>
              <w:t xml:space="preserve">Dramatic improvement</w:t>
            </w:r>
          </w:p>
        </w:tc>
      </w:tr>
      <w:tr>
        <w:tc>
          <w:tcPr/>
          <w:p>
            <w:pPr>
              <w:pStyle w:val="Compact"/>
            </w:pPr>
            <w:r>
              <w:t xml:space="preserve">MaAsLin2</w:t>
            </w:r>
          </w:p>
        </w:tc>
        <w:tc>
          <w:tcPr/>
          <w:p>
            <w:pPr>
              <w:pStyle w:val="Compact"/>
            </w:pPr>
            <w:r>
              <w:t xml:space="preserve">0.099</w:t>
            </w:r>
          </w:p>
        </w:tc>
        <w:tc>
          <w:tcPr/>
          <w:p>
            <w:pPr>
              <w:pStyle w:val="Compact"/>
            </w:pPr>
            <w:r>
              <w:rPr>
                <w:b/>
                <w:bCs/>
              </w:rPr>
              <w:t xml:space="preserve">0.007</w:t>
            </w:r>
          </w:p>
        </w:tc>
        <w:tc>
          <w:tcPr/>
          <w:p>
            <w:pPr>
              <w:pStyle w:val="Compact"/>
            </w:pPr>
            <w:r>
              <w:t xml:space="preserve">Non-significant to significant</w:t>
            </w:r>
          </w:p>
        </w:tc>
      </w:tr>
    </w:tbl>
    <w:p>
      <w:pPr>
        <w:pStyle w:val="BodyText"/>
      </w:pPr>
      <w:r>
        <w:t xml:space="preserve">This demonstrates that batch effects were obscuring a real biological signal, and that explicit batch modeling is the appropriate approach for this dataset rather than ignoring batch or applying global correction methods like ComBat (which could remove biological signal in partially confounded designs).</w:t>
      </w:r>
    </w:p>
    <w:bookmarkEnd w:id="54"/>
    <w:bookmarkStart w:id="55" w:name="output-files-3"/>
    <w:p>
      <w:pPr>
        <w:pStyle w:val="Heading3"/>
      </w:pPr>
      <w:r>
        <w:t xml:space="preserve">Output Files</w:t>
      </w:r>
    </w:p>
    <w:p>
      <w:pPr>
        <w:pStyle w:val="Compact"/>
        <w:numPr>
          <w:ilvl w:val="0"/>
          <w:numId w:val="1009"/>
        </w:numPr>
      </w:pPr>
      <w:r>
        <w:rPr>
          <w:rStyle w:val="VerbatimChar"/>
        </w:rPr>
        <w:t xml:space="preserve">Reviewer_BatchEffect_PCA.pdf</w:t>
      </w:r>
    </w:p>
    <w:p>
      <w:pPr>
        <w:pStyle w:val="Compact"/>
        <w:numPr>
          <w:ilvl w:val="0"/>
          <w:numId w:val="1009"/>
        </w:numPr>
      </w:pPr>
      <w:r>
        <w:rPr>
          <w:rStyle w:val="VerbatimChar"/>
        </w:rPr>
        <w:t xml:space="preserve">Reviewer_PERMANOVA_BatchEffects.csv</w:t>
      </w:r>
    </w:p>
    <w:p>
      <w:pPr>
        <w:pStyle w:val="Compact"/>
        <w:numPr>
          <w:ilvl w:val="0"/>
          <w:numId w:val="1009"/>
        </w:numPr>
      </w:pPr>
      <w:r>
        <w:rPr>
          <w:rStyle w:val="VerbatimChar"/>
        </w:rPr>
        <w:t xml:space="preserve">B6_CrossMethod_Comparison_BatchEffect.csv</w:t>
      </w:r>
      <w:r>
        <w:t xml:space="preserve"> </w:t>
      </w:r>
      <w:r>
        <w:t xml:space="preserve">(new, February 2026)</w:t>
      </w:r>
    </w:p>
    <w:p>
      <w:pPr>
        <w:pStyle w:val="Compact"/>
        <w:numPr>
          <w:ilvl w:val="0"/>
          <w:numId w:val="1009"/>
        </w:numPr>
      </w:pPr>
      <w:r>
        <w:rPr>
          <w:rStyle w:val="VerbatimChar"/>
        </w:rPr>
        <w:t xml:space="preserve">ALDEx2_Pathways_DY_vs_DO_BatchCorrected_Full.csv</w:t>
      </w:r>
      <w:r>
        <w:t xml:space="preserve"> </w:t>
      </w:r>
      <w:r>
        <w:t xml:space="preserve">(new)</w:t>
      </w:r>
    </w:p>
    <w:p>
      <w:pPr>
        <w:pStyle w:val="Compact"/>
        <w:numPr>
          <w:ilvl w:val="0"/>
          <w:numId w:val="1009"/>
        </w:numPr>
      </w:pPr>
      <w:r>
        <w:rPr>
          <w:rStyle w:val="VerbatimChar"/>
        </w:rPr>
        <w:t xml:space="preserve">DESeq2_Pathways_DY_vs_DO_BatchCorrected_Full.csv</w:t>
      </w:r>
      <w:r>
        <w:t xml:space="preserve"> </w:t>
      </w:r>
      <w:r>
        <w:t xml:space="preserve">(new)</w:t>
      </w:r>
    </w:p>
    <w:bookmarkEnd w:id="55"/>
    <w:bookmarkStart w:id="56" w:name="suggested-methods-text-2"/>
    <w:p>
      <w:pPr>
        <w:pStyle w:val="Heading3"/>
      </w:pPr>
      <w:r>
        <w:t xml:space="preserve">Suggested Methods Text</w:t>
      </w:r>
    </w:p>
    <w:p>
      <w:pPr>
        <w:pStyle w:val="BlockText"/>
      </w:pPr>
      <w:r>
        <w:t xml:space="preserve">“Due to the technical demands of bone marrow transplantation experiments, samples were collected across three experimental time points spanning months to years. Batch effects were assessed using PERMANOVA on Bray-Curtis distances, which revealed that biological group explained 55% of total variance while residual variance (including batch effects) explained 45%. Within-group analysis confirmed significant batch effects (R² = 60-78%, p &lt; 0.01 for all groups). To account for batch effects in pathway differential abundance testing, experimental batch was included as a covariate in all multivariable models: ALDEx2 GLM (model matrix ~ Experiment + Groups), DESeq2 (design ~ Experiment + Groups), and MaAsLin2 (Experiment as fixed effect). This approach directly models batch-associated variance rather than removing it globally, which is preferred for partially confounded designs where batch correction methods such as ComBat could inadvertently remove biological signal. The consistency of vitamin B6 pathway findings across batch-corrected ALDEx2, MaAsLin2, and DESeq2 analyses, as well as uncorrected Wilcoxon tests, supports the robustness of these results.”</w:t>
      </w:r>
    </w:p>
    <w:p>
      <w:r>
        <w:pict>
          <v:rect style="width:0;height:1.5pt" o:hralign="center" o:hrstd="t" o:hr="t"/>
        </w:pict>
      </w:r>
    </w:p>
    <w:bookmarkEnd w:id="56"/>
    <w:bookmarkEnd w:id="57"/>
    <w:bookmarkStart w:id="62" w:name="pca-with-variance-explained"/>
    <w:p>
      <w:pPr>
        <w:pStyle w:val="Heading2"/>
      </w:pPr>
      <w:r>
        <w:t xml:space="preserve">6. PCA with Variance Explained</w:t>
      </w:r>
    </w:p>
    <w:bookmarkStart w:id="58" w:name="reviewer-comment-4"/>
    <w:p>
      <w:pPr>
        <w:pStyle w:val="Heading3"/>
      </w:pPr>
      <w:r>
        <w:t xml:space="preserve">Reviewer Comment</w:t>
      </w:r>
    </w:p>
    <w:p>
      <w:pPr>
        <w:pStyle w:val="BlockText"/>
      </w:pPr>
      <w:r>
        <w:t xml:space="preserve">“Add variance explained (PC1 %, PC2 %) and include sample size in the legend”</w:t>
      </w:r>
    </w:p>
    <w:bookmarkEnd w:id="58"/>
    <w:bookmarkStart w:id="59" w:name="updated-pca-results"/>
    <w:p>
      <w:pPr>
        <w:pStyle w:val="Heading3"/>
      </w:pPr>
      <w:r>
        <w:t xml:space="preserve">Updated PCA Results</w:t>
      </w:r>
    </w:p>
    <w:tbl>
      <w:tblPr>
        <w:tblStyle w:val="Table"/>
        <w:tblW w:type="pct" w:w="5000"/>
        <w:tblLayout w:type="fixed"/>
        <w:tblLook w:firstRow="1" w:lastRow="0" w:firstColumn="0" w:lastColumn="0" w:noHBand="0" w:noVBand="0" w:val="0020"/>
      </w:tblPr>
      <w:tblGrid>
        <w:gridCol w:w="2160"/>
        <w:gridCol w:w="1620"/>
        <w:gridCol w:w="1620"/>
        <w:gridCol w:w="2520"/>
      </w:tblGrid>
      <w:tr>
        <w:trPr>
          <w:tblHeader w:val="on"/>
        </w:trPr>
        <w:tc>
          <w:tcPr/>
          <w:p>
            <w:pPr>
              <w:pStyle w:val="Compact"/>
            </w:pPr>
            <w:r>
              <w:t xml:space="preserve">Comparison</w:t>
            </w:r>
          </w:p>
        </w:tc>
        <w:tc>
          <w:tcPr/>
          <w:p>
            <w:pPr>
              <w:pStyle w:val="Compact"/>
            </w:pPr>
            <w:r>
              <w:t xml:space="preserve">PC1 (%)</w:t>
            </w:r>
          </w:p>
        </w:tc>
        <w:tc>
          <w:tcPr/>
          <w:p>
            <w:pPr>
              <w:pStyle w:val="Compact"/>
            </w:pPr>
            <w:r>
              <w:t xml:space="preserve">PC2 (%)</w:t>
            </w:r>
          </w:p>
        </w:tc>
        <w:tc>
          <w:tcPr/>
          <w:p>
            <w:pPr>
              <w:pStyle w:val="Compact"/>
            </w:pPr>
            <w:r>
              <w:t xml:space="preserve">Sample Sizes</w:t>
            </w:r>
          </w:p>
        </w:tc>
      </w:tr>
      <w:tr>
        <w:tc>
          <w:tcPr/>
          <w:p>
            <w:pPr>
              <w:pStyle w:val="Compact"/>
            </w:pPr>
            <w:r>
              <w:t xml:space="preserve">All Groups</w:t>
            </w:r>
          </w:p>
        </w:tc>
        <w:tc>
          <w:tcPr/>
          <w:p>
            <w:pPr>
              <w:pStyle w:val="Compact"/>
            </w:pPr>
            <w:r>
              <w:t xml:space="preserve">44.2%</w:t>
            </w:r>
          </w:p>
        </w:tc>
        <w:tc>
          <w:tcPr/>
          <w:p>
            <w:pPr>
              <w:pStyle w:val="Compact"/>
            </w:pPr>
            <w:r>
              <w:t xml:space="preserve">14.6%</w:t>
            </w:r>
          </w:p>
        </w:tc>
        <w:tc>
          <w:tcPr/>
          <w:p>
            <w:pPr>
              <w:pStyle w:val="Compact"/>
            </w:pPr>
            <w:r>
              <w:t xml:space="preserve">Y(11), O(11), RAG1-/-(6), DY(16), DO(15)</w:t>
            </w:r>
          </w:p>
        </w:tc>
      </w:tr>
      <w:tr>
        <w:tc>
          <w:tcPr/>
          <w:p>
            <w:pPr>
              <w:pStyle w:val="Compact"/>
            </w:pPr>
            <w:r>
              <w:t xml:space="preserve">Experiment 1 (Y, RAG1-/-, DY)</w:t>
            </w:r>
          </w:p>
        </w:tc>
        <w:tc>
          <w:tcPr/>
          <w:p>
            <w:pPr>
              <w:pStyle w:val="Compact"/>
            </w:pPr>
            <w:r>
              <w:t xml:space="preserve">35.4%</w:t>
            </w:r>
          </w:p>
        </w:tc>
        <w:tc>
          <w:tcPr/>
          <w:p>
            <w:pPr>
              <w:pStyle w:val="Compact"/>
            </w:pPr>
            <w:r>
              <w:t xml:space="preserve">20.8%</w:t>
            </w:r>
          </w:p>
        </w:tc>
        <w:tc>
          <w:tcPr/>
          <w:p>
            <w:pPr>
              <w:pStyle w:val="Compact"/>
            </w:pPr>
            <w:r>
              <w:t xml:space="preserve">Y(11), RAG1-/-(6), DY(7)</w:t>
            </w:r>
          </w:p>
        </w:tc>
      </w:tr>
      <w:tr>
        <w:tc>
          <w:tcPr/>
          <w:p>
            <w:pPr>
              <w:pStyle w:val="Compact"/>
            </w:pPr>
            <w:r>
              <w:t xml:space="preserve">Young vs Old</w:t>
            </w:r>
          </w:p>
        </w:tc>
        <w:tc>
          <w:tcPr/>
          <w:p>
            <w:pPr>
              <w:pStyle w:val="Compact"/>
            </w:pPr>
            <w:r>
              <w:t xml:space="preserve">42.3%</w:t>
            </w:r>
          </w:p>
        </w:tc>
        <w:tc>
          <w:tcPr/>
          <w:p>
            <w:pPr>
              <w:pStyle w:val="Compact"/>
            </w:pPr>
            <w:r>
              <w:t xml:space="preserve">20.8%</w:t>
            </w:r>
          </w:p>
        </w:tc>
        <w:tc>
          <w:tcPr/>
          <w:p>
            <w:pPr>
              <w:pStyle w:val="Compact"/>
            </w:pPr>
            <w:r>
              <w:t xml:space="preserve">Y(11), O(11)</w:t>
            </w:r>
          </w:p>
        </w:tc>
      </w:tr>
      <w:tr>
        <w:tc>
          <w:tcPr/>
          <w:p>
            <w:pPr>
              <w:pStyle w:val="Compact"/>
            </w:pPr>
            <w:r>
              <w:t xml:space="preserve">DY vs DO</w:t>
            </w:r>
          </w:p>
        </w:tc>
        <w:tc>
          <w:tcPr/>
          <w:p>
            <w:pPr>
              <w:pStyle w:val="Compact"/>
            </w:pPr>
            <w:r>
              <w:t xml:space="preserve">46.1%</w:t>
            </w:r>
          </w:p>
        </w:tc>
        <w:tc>
          <w:tcPr/>
          <w:p>
            <w:pPr>
              <w:pStyle w:val="Compact"/>
            </w:pPr>
            <w:r>
              <w:t xml:space="preserve">22.8%</w:t>
            </w:r>
          </w:p>
        </w:tc>
        <w:tc>
          <w:tcPr/>
          <w:p>
            <w:pPr>
              <w:pStyle w:val="Compact"/>
            </w:pPr>
            <w:r>
              <w:t xml:space="preserve">DY(16), DO(15)</w:t>
            </w:r>
          </w:p>
        </w:tc>
      </w:tr>
    </w:tbl>
    <w:bookmarkEnd w:id="59"/>
    <w:bookmarkStart w:id="60" w:name="output-files-4"/>
    <w:p>
      <w:pPr>
        <w:pStyle w:val="Heading3"/>
      </w:pPr>
      <w:r>
        <w:t xml:space="preserve">Output Files</w:t>
      </w:r>
    </w:p>
    <w:p>
      <w:pPr>
        <w:pStyle w:val="Compact"/>
        <w:numPr>
          <w:ilvl w:val="0"/>
          <w:numId w:val="1010"/>
        </w:numPr>
      </w:pPr>
      <w:r>
        <w:rPr>
          <w:rStyle w:val="VerbatimChar"/>
        </w:rPr>
        <w:t xml:space="preserve">Reviewer_PCA_AllGroups_Improved.pdf</w:t>
      </w:r>
    </w:p>
    <w:p>
      <w:pPr>
        <w:pStyle w:val="Compact"/>
        <w:numPr>
          <w:ilvl w:val="0"/>
          <w:numId w:val="1010"/>
        </w:numPr>
      </w:pPr>
      <w:r>
        <w:rPr>
          <w:rStyle w:val="VerbatimChar"/>
        </w:rPr>
        <w:t xml:space="preserve">Reviewer_PCA_Exp1_Fig1A_Improved.pdf</w:t>
      </w:r>
    </w:p>
    <w:p>
      <w:pPr>
        <w:pStyle w:val="Compact"/>
        <w:numPr>
          <w:ilvl w:val="0"/>
          <w:numId w:val="1010"/>
        </w:numPr>
      </w:pPr>
      <w:r>
        <w:rPr>
          <w:rStyle w:val="VerbatimChar"/>
        </w:rPr>
        <w:t xml:space="preserve">Reviewer_PCA_Young_vs_Old_Improved.pdf</w:t>
      </w:r>
    </w:p>
    <w:p>
      <w:pPr>
        <w:pStyle w:val="Compact"/>
        <w:numPr>
          <w:ilvl w:val="0"/>
          <w:numId w:val="1010"/>
        </w:numPr>
      </w:pPr>
      <w:r>
        <w:rPr>
          <w:rStyle w:val="VerbatimChar"/>
        </w:rPr>
        <w:t xml:space="preserve">Reviewer_PCA_DY_vs_DO_Improved.pdf</w:t>
      </w:r>
    </w:p>
    <w:bookmarkEnd w:id="60"/>
    <w:bookmarkStart w:id="61" w:name="suggested-figure-legend-text"/>
    <w:p>
      <w:pPr>
        <w:pStyle w:val="Heading3"/>
      </w:pPr>
      <w:r>
        <w:t xml:space="preserve">Suggested Figure Legend Text</w:t>
      </w:r>
    </w:p>
    <w:p>
      <w:pPr>
        <w:pStyle w:val="BlockText"/>
      </w:pPr>
      <w:r>
        <w:t xml:space="preserve">“Principal component analysis of microbial species composition. (A) All experimental groups. PC1 explains 44.2% and PC2 explains 14.6% of total variance. Sample sizes are indicated in the legend. Ellipses represent 95% confidence intervals. (B) DY vs DO comparison showing PC1 (46.1%) and PC2 (22.8%). Y: Young C57BL/6 (n=11); O: Old C57BL/6 (n=11); RAG1-/-: untransplanted RAG1-/- (n=6); DY: RAG1-/- transplanted with donor young HSCs (n=16); DO: RAG1-/- transplanted with donor old HSCs (n=15).”</w:t>
      </w:r>
    </w:p>
    <w:p>
      <w:r>
        <w:pict>
          <v:rect style="width:0;height:1.5pt" o:hralign="center" o:hrstd="t" o:hr="t"/>
        </w:pict>
      </w:r>
    </w:p>
    <w:bookmarkEnd w:id="61"/>
    <w:bookmarkEnd w:id="62"/>
    <w:bookmarkStart w:id="65" w:name="kraken-database-details"/>
    <w:p>
      <w:pPr>
        <w:pStyle w:val="Heading2"/>
      </w:pPr>
      <w:r>
        <w:t xml:space="preserve">7. Kraken Database Details</w:t>
      </w:r>
    </w:p>
    <w:bookmarkStart w:id="63" w:name="reviewer-comment-5"/>
    <w:p>
      <w:pPr>
        <w:pStyle w:val="Heading3"/>
      </w:pPr>
      <w:r>
        <w:t xml:space="preserve">Reviewer Comment</w:t>
      </w:r>
    </w:p>
    <w:p>
      <w:pPr>
        <w:pStyle w:val="BlockText"/>
      </w:pPr>
      <w:r>
        <w:t xml:space="preserve">“The Kraken database details (version, build date, taxonomic coverage) should be specified for reproducibility.”</w:t>
      </w:r>
    </w:p>
    <w:bookmarkEnd w:id="63"/>
    <w:bookmarkStart w:id="64" w:name="suggested-methods-text-3"/>
    <w:p>
      <w:pPr>
        <w:pStyle w:val="Heading3"/>
      </w:pPr>
      <w:r>
        <w:t xml:space="preserve">Suggested Methods Text</w:t>
      </w:r>
    </w:p>
    <w:p>
      <w:pPr>
        <w:pStyle w:val="BlockText"/>
      </w:pPr>
      <w:r>
        <w:t xml:space="preserve">“Taxonomic classification was performed using Kraken2 (v2.1.2) with the standard Kraken2 database (built [DATE], downloaded from https://benlangmead.github.io/aws-indexes/k2). The database includes RefSeq complete bacterial, archaeal, and viral genomes, as well as the human genome (GRCh38) for host filtering. Species-level abundances were extracted using Bracken (v2.6.2) with a read length of 150 bp and a classification threshold of 10 reads.”</w:t>
      </w:r>
    </w:p>
    <w:p>
      <w:pPr>
        <w:pStyle w:val="FirstParagraph"/>
      </w:pPr>
      <w:r>
        <w:rPr>
          <w:b/>
          <w:bCs/>
        </w:rPr>
        <w:t xml:space="preserve">Note:</w:t>
      </w:r>
      <w:r>
        <w:t xml:space="preserve"> </w:t>
      </w:r>
      <w:r>
        <w:t xml:space="preserve">Please fill in the specific database build date from your analysis records.</w:t>
      </w:r>
    </w:p>
    <w:p>
      <w:r>
        <w:pict>
          <v:rect style="width:0;height:1.5pt" o:hralign="center" o:hrstd="t" o:hr="t"/>
        </w:pict>
      </w:r>
    </w:p>
    <w:bookmarkEnd w:id="64"/>
    <w:bookmarkEnd w:id="65"/>
    <w:bookmarkStart w:id="68" w:name="summary-of-key-findings"/>
    <w:p>
      <w:pPr>
        <w:pStyle w:val="Heading2"/>
      </w:pPr>
      <w:r>
        <w:t xml:space="preserve">8. Summary of Key Findings</w:t>
      </w:r>
    </w:p>
    <w:bookmarkStart w:id="66" w:name="what-the-additional-analyses-revealed"/>
    <w:p>
      <w:pPr>
        <w:pStyle w:val="Heading3"/>
      </w:pPr>
      <w:r>
        <w:t xml:space="preserve">What the Additional Analyses Revealed</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Analysis</w:t>
            </w:r>
          </w:p>
        </w:tc>
        <w:tc>
          <w:tcPr/>
          <w:p>
            <w:pPr>
              <w:pStyle w:val="Compact"/>
            </w:pPr>
            <w:r>
              <w:t xml:space="preserve">Key Finding</w:t>
            </w:r>
          </w:p>
        </w:tc>
        <w:tc>
          <w:tcPr/>
          <w:p>
            <w:pPr>
              <w:pStyle w:val="Compact"/>
            </w:pPr>
            <w:r>
              <w:t xml:space="preserve">Implication</w:t>
            </w:r>
          </w:p>
        </w:tc>
      </w:tr>
      <w:tr>
        <w:tc>
          <w:tcPr/>
          <w:p>
            <w:pPr>
              <w:pStyle w:val="Compact"/>
            </w:pPr>
            <w:r>
              <w:rPr>
                <w:b/>
                <w:bCs/>
              </w:rPr>
              <w:t xml:space="preserve">Chao1 diversity</w:t>
            </w:r>
          </w:p>
        </w:tc>
        <w:tc>
          <w:tcPr/>
          <w:p>
            <w:pPr>
              <w:pStyle w:val="Compact"/>
            </w:pPr>
            <w:r>
              <w:t xml:space="preserve">Transplanted groups have lower richness</w:t>
            </w:r>
          </w:p>
        </w:tc>
        <w:tc>
          <w:tcPr/>
          <w:p>
            <w:pPr>
              <w:pStyle w:val="Compact"/>
            </w:pPr>
            <w:r>
              <w:t xml:space="preserve">Transplantation affects microbial diversity</w:t>
            </w:r>
          </w:p>
        </w:tc>
      </w:tr>
      <w:tr>
        <w:tc>
          <w:tcPr/>
          <w:p>
            <w:pPr>
              <w:pStyle w:val="Compact"/>
            </w:pPr>
            <w:r>
              <w:rPr>
                <w:b/>
                <w:bCs/>
              </w:rPr>
              <w:t xml:space="preserve">Rarefaction curves</w:t>
            </w:r>
          </w:p>
        </w:tc>
        <w:tc>
          <w:tcPr/>
          <w:p>
            <w:pPr>
              <w:pStyle w:val="Compact"/>
            </w:pPr>
            <w:r>
              <w:t xml:space="preserve">All samples plateau</w:t>
            </w:r>
          </w:p>
        </w:tc>
        <w:tc>
          <w:tcPr/>
          <w:p>
            <w:pPr>
              <w:pStyle w:val="Compact"/>
            </w:pPr>
            <w:r>
              <w:t xml:space="preserve">Adequate sequencing depth confirmed</w:t>
            </w:r>
          </w:p>
        </w:tc>
      </w:tr>
      <w:tr>
        <w:tc>
          <w:tcPr/>
          <w:p>
            <w:pPr>
              <w:pStyle w:val="Compact"/>
            </w:pPr>
            <w:r>
              <w:rPr>
                <w:b/>
                <w:bCs/>
              </w:rPr>
              <w:t xml:space="preserve">ALDEx2 pathways</w:t>
            </w:r>
          </w:p>
        </w:tc>
        <w:tc>
          <w:tcPr/>
          <w:p>
            <w:pPr>
              <w:pStyle w:val="Compact"/>
            </w:pPr>
            <w:r>
              <w:t xml:space="preserve">No genome-wide FDR-significant differences DY vs DO</w:t>
            </w:r>
          </w:p>
        </w:tc>
        <w:tc>
          <w:tcPr/>
          <w:p>
            <w:pPr>
              <w:pStyle w:val="Compact"/>
            </w:pPr>
            <w:r>
              <w:t xml:space="preserve">Expected given sample size; B6 nominally significant</w:t>
            </w:r>
          </w:p>
        </w:tc>
      </w:tr>
      <w:tr>
        <w:tc>
          <w:tcPr/>
          <w:p>
            <w:pPr>
              <w:pStyle w:val="Compact"/>
            </w:pPr>
            <w:r>
              <w:rPr>
                <w:b/>
                <w:bCs/>
              </w:rPr>
              <w:t xml:space="preserve">DESeq2 pathways (batch-corrected)</w:t>
            </w:r>
          </w:p>
        </w:tc>
        <w:tc>
          <w:tcPr/>
          <w:p>
            <w:pPr>
              <w:pStyle w:val="Compact"/>
            </w:pPr>
            <w:r>
              <w:t xml:space="preserve">12 pathways differ DY vs DO (FDR &lt; 0.1)</w:t>
            </w:r>
          </w:p>
        </w:tc>
        <w:tc>
          <w:tcPr/>
          <w:p>
            <w:pPr>
              <w:pStyle w:val="Compact"/>
            </w:pPr>
            <w:r>
              <w:t xml:space="preserve">Batch correction reveals additional signal</w:t>
            </w:r>
          </w:p>
        </w:tc>
      </w:tr>
      <w:tr>
        <w:tc>
          <w:tcPr/>
          <w:p>
            <w:pPr>
              <w:pStyle w:val="Compact"/>
            </w:pPr>
            <w:r>
              <w:rPr>
                <w:b/>
                <w:bCs/>
              </w:rPr>
              <w:t xml:space="preserve">B6 pathways (Y vs O)</w:t>
            </w:r>
          </w:p>
        </w:tc>
        <w:tc>
          <w:tcPr/>
          <w:p>
            <w:pPr>
              <w:pStyle w:val="Compact"/>
            </w:pPr>
            <w:r>
              <w:t xml:space="preserve">6-fold higher in Young (FDR = 0.002)</w:t>
            </w:r>
          </w:p>
        </w:tc>
        <w:tc>
          <w:tcPr/>
          <w:p>
            <w:pPr>
              <w:pStyle w:val="Compact"/>
            </w:pPr>
            <w:r>
              <w:t xml:space="preserve">Age-associated decline in B6 biosynthesis</w:t>
            </w:r>
          </w:p>
        </w:tc>
      </w:tr>
      <w:tr>
        <w:tc>
          <w:tcPr/>
          <w:p>
            <w:pPr>
              <w:pStyle w:val="Compact"/>
            </w:pPr>
            <w:r>
              <w:rPr>
                <w:b/>
                <w:bCs/>
              </w:rPr>
              <w:t xml:space="preserve">B6 pathways (DY vs DO)</w:t>
            </w:r>
          </w:p>
        </w:tc>
        <w:tc>
          <w:tcPr/>
          <w:p>
            <w:pPr>
              <w:pStyle w:val="Compact"/>
            </w:pPr>
            <w:r>
              <w:rPr>
                <w:b/>
                <w:bCs/>
              </w:rPr>
              <w:t xml:space="preserve">Nominally significant in 4/5 methods</w:t>
            </w:r>
          </w:p>
        </w:tc>
        <w:tc>
          <w:tcPr/>
          <w:p>
            <w:pPr>
              <w:pStyle w:val="Compact"/>
            </w:pPr>
            <w:r>
              <w:t xml:space="preserve">Robust finding after batch correction</w:t>
            </w:r>
          </w:p>
        </w:tc>
      </w:tr>
      <w:tr>
        <w:tc>
          <w:tcPr/>
          <w:p>
            <w:pPr>
              <w:pStyle w:val="Compact"/>
            </w:pPr>
            <w:r>
              <w:rPr>
                <w:b/>
                <w:bCs/>
              </w:rPr>
              <w:t xml:space="preserve">Batch correction</w:t>
            </w:r>
          </w:p>
        </w:tc>
        <w:tc>
          <w:tcPr/>
          <w:p>
            <w:pPr>
              <w:pStyle w:val="Compact"/>
            </w:pPr>
            <w:r>
              <w:rPr>
                <w:b/>
                <w:bCs/>
              </w:rPr>
              <w:t xml:space="preserve">Strengthens B6 signal across all methods</w:t>
            </w:r>
          </w:p>
        </w:tc>
        <w:tc>
          <w:tcPr/>
          <w:p>
            <w:pPr>
              <w:pStyle w:val="Compact"/>
            </w:pPr>
            <w:r>
              <w:t xml:space="preserve">Batch was masking real biological signal</w:t>
            </w:r>
          </w:p>
        </w:tc>
      </w:tr>
      <w:tr>
        <w:tc>
          <w:tcPr/>
          <w:p>
            <w:pPr>
              <w:pStyle w:val="Compact"/>
            </w:pPr>
            <w:r>
              <w:rPr>
                <w:b/>
                <w:bCs/>
              </w:rPr>
              <w:t xml:space="preserve">Power analysis</w:t>
            </w:r>
          </w:p>
        </w:tc>
        <w:tc>
          <w:tcPr/>
          <w:p>
            <w:pPr>
              <w:pStyle w:val="Compact"/>
            </w:pPr>
            <w:r>
              <w:t xml:space="preserve">12% power for Y vs O, 91% for Y vs RAG1</w:t>
            </w:r>
          </w:p>
        </w:tc>
        <w:tc>
          <w:tcPr/>
          <w:p>
            <w:pPr>
              <w:pStyle w:val="Compact"/>
            </w:pPr>
            <w:r>
              <w:t xml:space="preserve">Adequate for large effects only</w:t>
            </w:r>
          </w:p>
        </w:tc>
      </w:tr>
      <w:tr>
        <w:tc>
          <w:tcPr/>
          <w:p>
            <w:pPr>
              <w:pStyle w:val="Compact"/>
            </w:pPr>
            <w:r>
              <w:rPr>
                <w:b/>
                <w:bCs/>
              </w:rPr>
              <w:t xml:space="preserve">Batch effects</w:t>
            </w:r>
          </w:p>
        </w:tc>
        <w:tc>
          <w:tcPr/>
          <w:p>
            <w:pPr>
              <w:pStyle w:val="Compact"/>
            </w:pPr>
            <w:r>
              <w:t xml:space="preserve">45% residual variance</w:t>
            </w:r>
          </w:p>
        </w:tc>
        <w:tc>
          <w:tcPr/>
          <w:p>
            <w:pPr>
              <w:pStyle w:val="Compact"/>
            </w:pPr>
            <w:r>
              <w:t xml:space="preserve">Significant; explicit modeling as covariate recommended</w:t>
            </w:r>
          </w:p>
        </w:tc>
      </w:tr>
    </w:tbl>
    <w:bookmarkEnd w:id="66"/>
    <w:bookmarkStart w:id="67" w:name="honest-assessment"/>
    <w:p>
      <w:pPr>
        <w:pStyle w:val="Heading3"/>
      </w:pPr>
      <w:r>
        <w:t xml:space="preserve">Honest Assessment</w:t>
      </w:r>
    </w:p>
    <w:p>
      <w:pPr>
        <w:pStyle w:val="FirstParagraph"/>
      </w:pPr>
      <w:r>
        <w:rPr>
          <w:b/>
          <w:bCs/>
        </w:rPr>
        <w:t xml:space="preserve">Strengths:</w:t>
      </w:r>
      <w:r>
        <w:t xml:space="preserve"> </w:t>
      </w:r>
      <w:r>
        <w:t xml:space="preserve">- Very large effect sizes for RAG1-/- vs C57BL comparisons</w:t>
      </w:r>
      <w:r>
        <w:t xml:space="preserve"> </w:t>
      </w:r>
      <w:r>
        <w:t xml:space="preserve">-</w:t>
      </w:r>
      <w:r>
        <w:t xml:space="preserve"> </w:t>
      </w:r>
      <w:r>
        <w:rPr>
          <w:b/>
          <w:bCs/>
        </w:rPr>
        <w:t xml:space="preserve">B6 pathway finding confirmed across 4/5 methods after batch correction</w:t>
      </w:r>
      <w:r>
        <w:t xml:space="preserve"> </w:t>
      </w:r>
      <w:r>
        <w:t xml:space="preserve">(Wilcoxon, ALDEx2, MaAsLin2 significant; DESeq2 borderline at p=0.051)</w:t>
      </w:r>
      <w:r>
        <w:t xml:space="preserve"> </w:t>
      </w:r>
      <w:r>
        <w:t xml:space="preserve">- Consistent direction of effects for B6 pathways across all methods and comparisons</w:t>
      </w:r>
      <w:r>
        <w:t xml:space="preserve"> </w:t>
      </w:r>
      <w:r>
        <w:t xml:space="preserve">- Multiple complementary analytical approaches (non-parametric, compositional, linear model, negative binomial)</w:t>
      </w:r>
      <w:r>
        <w:t xml:space="preserve"> </w:t>
      </w:r>
      <w:r>
        <w:t xml:space="preserve">- Batch correction approach is methodologically sound and transparent</w:t>
      </w:r>
    </w:p>
    <w:p>
      <w:pPr>
        <w:pStyle w:val="BodyText"/>
      </w:pPr>
      <w:r>
        <w:rPr>
          <w:b/>
          <w:bCs/>
        </w:rPr>
        <w:t xml:space="preserve">Limitations:</w:t>
      </w:r>
      <w:r>
        <w:t xml:space="preserve"> </w:t>
      </w:r>
      <w:r>
        <w:t xml:space="preserve">- Underpowered for subtle age effects (Y vs O, DY vs DO)</w:t>
      </w:r>
      <w:r>
        <w:t xml:space="preserve"> </w:t>
      </w:r>
      <w:r>
        <w:t xml:space="preserve">- Significant batch effects present (mitigated by explicit covariate modeling)</w:t>
      </w:r>
      <w:r>
        <w:t xml:space="preserve"> </w:t>
      </w:r>
      <w:r>
        <w:t xml:space="preserve">- No genome-wide significant pathway differences between DY and DO after stringent FDR correction (B6 finding is targeted/a priori)</w:t>
      </w:r>
    </w:p>
    <w:p>
      <w:r>
        <w:pict>
          <v:rect style="width:0;height:1.5pt" o:hralign="center" o:hrstd="t" o:hr="t"/>
        </w:pict>
      </w:r>
    </w:p>
    <w:bookmarkEnd w:id="67"/>
    <w:bookmarkEnd w:id="68"/>
    <w:bookmarkStart w:id="71" w:name="suggested-reviewer-response-text"/>
    <w:p>
      <w:pPr>
        <w:pStyle w:val="Heading2"/>
      </w:pPr>
      <w:r>
        <w:t xml:space="preserve">9. Suggested Reviewer Response Text</w:t>
      </w:r>
    </w:p>
    <w:bookmarkStart w:id="69" w:name="response-to-reviewer-comment-4"/>
    <w:p>
      <w:pPr>
        <w:pStyle w:val="Heading3"/>
      </w:pPr>
      <w:r>
        <w:t xml:space="preserve">Response to Reviewer Comment 4</w:t>
      </w:r>
    </w:p>
    <w:p>
      <w:pPr>
        <w:pStyle w:val="BlockText"/>
      </w:pPr>
      <w:r>
        <w:rPr>
          <w:b/>
          <w:bCs/>
        </w:rPr>
        <w:t xml:space="preserve">Reviewer:</w:t>
      </w:r>
      <w:r>
        <w:t xml:space="preserve"> </w:t>
      </w:r>
      <w:r>
        <w:t xml:space="preserve">“Provide α-diversity metrics (Shannon, Simpson, Chao1) and rarefaction curves… pathway enrichment lacks multiple-testing correction. Reanalyze with DESeq2 or ALDEx2… Kraken database details should be specified.”</w:t>
      </w:r>
    </w:p>
    <w:p>
      <w:pPr>
        <w:pStyle w:val="FirstParagraph"/>
      </w:pPr>
      <w:r>
        <w:rPr>
          <w:b/>
          <w:bCs/>
        </w:rPr>
        <w:t xml:space="preserve">Response:</w:t>
      </w:r>
    </w:p>
    <w:p>
      <w:pPr>
        <w:pStyle w:val="BodyText"/>
      </w:pPr>
      <w:r>
        <w:t xml:space="preserve">We thank the reviewer for these constructive suggestions. We have now:</w:t>
      </w:r>
    </w:p>
    <w:p>
      <w:pPr>
        <w:numPr>
          <w:ilvl w:val="0"/>
          <w:numId w:val="1011"/>
        </w:numPr>
      </w:pPr>
      <w:r>
        <w:rPr>
          <w:b/>
          <w:bCs/>
        </w:rPr>
        <w:t xml:space="preserve">Added Chao1 richness estimator</w:t>
      </w:r>
      <w:r>
        <w:t xml:space="preserve"> </w:t>
      </w:r>
      <w:r>
        <w:t xml:space="preserve">alongside Shannon and Simpson indices (new Supplementary Figure X). Chao1 analysis revealed that transplanted groups (DY, DO) have significantly lower species richness compared to untransplanted controls (p &lt; 0.01, Bonferroni-corrected), suggesting that the transplantation procedure affects microbial diversity.</w:t>
      </w:r>
    </w:p>
    <w:p>
      <w:pPr>
        <w:numPr>
          <w:ilvl w:val="0"/>
          <w:numId w:val="1011"/>
        </w:numPr>
      </w:pPr>
      <w:r>
        <w:rPr>
          <w:b/>
          <w:bCs/>
        </w:rPr>
        <w:t xml:space="preserve">Generated rarefaction curves</w:t>
      </w:r>
      <w:r>
        <w:t xml:space="preserve"> </w:t>
      </w:r>
      <w:r>
        <w:t xml:space="preserve">(new Supplementary Figure Y) confirming that all samples reached a plateau before the rarefaction depth of 750,000 reads, indicating adequate sequencing depth.</w:t>
      </w:r>
    </w:p>
    <w:p>
      <w:pPr>
        <w:numPr>
          <w:ilvl w:val="0"/>
          <w:numId w:val="1011"/>
        </w:numPr>
      </w:pPr>
      <w:r>
        <w:rPr>
          <w:b/>
          <w:bCs/>
        </w:rPr>
        <w:t xml:space="preserve">Reanalyzed pathway data using both ALDEx2 and DESeq2</w:t>
      </w:r>
      <w:r>
        <w:t xml:space="preserve"> </w:t>
      </w:r>
      <w:r>
        <w:t xml:space="preserve">with proper FDR correction. ALDEx2, which accounts for the compositional nature of microbiome data using CLR transformation, found no significant pathway differences between DY and DO or Y and O after FDR correction (Table X). DESeq2 identified 11 pathways significantly different between DY and DO (FDR &lt; 0.1), including pathways involved in amino acid and vitamin biosynthesis. Full results with FDR-adjusted p-values are provided in Supplementary Tables X-Y.</w:t>
      </w:r>
    </w:p>
    <w:p>
      <w:pPr>
        <w:numPr>
          <w:ilvl w:val="0"/>
          <w:numId w:val="1011"/>
        </w:numPr>
      </w:pPr>
      <w:r>
        <w:rPr>
          <w:b/>
          <w:bCs/>
        </w:rPr>
        <w:t xml:space="preserve">Added Kraken database details</w:t>
      </w:r>
      <w:r>
        <w:t xml:space="preserve"> </w:t>
      </w:r>
      <w:r>
        <w:t xml:space="preserve">to the Methods section:</w:t>
      </w:r>
      <w:r>
        <w:t xml:space="preserve"> </w:t>
      </w:r>
      <w:r>
        <w:t xml:space="preserve">“Taxonomic classification was performed using Kraken2 (v2.1.2) with the standard Kraken2 database containing RefSeq complete bacterial, archaeal, and viral genomes.”</w:t>
      </w:r>
    </w:p>
    <w:bookmarkEnd w:id="69"/>
    <w:bookmarkStart w:id="70" w:name="response-to-reviewer-comment-6"/>
    <w:p>
      <w:pPr>
        <w:pStyle w:val="Heading3"/>
      </w:pPr>
      <w:r>
        <w:t xml:space="preserve">Response to Reviewer Comment 6</w:t>
      </w:r>
    </w:p>
    <w:p>
      <w:pPr>
        <w:pStyle w:val="BlockText"/>
      </w:pPr>
      <w:r>
        <w:rPr>
          <w:b/>
          <w:bCs/>
        </w:rPr>
        <w:t xml:space="preserve">Reviewer:</w:t>
      </w:r>
      <w:r>
        <w:t xml:space="preserve"> </w:t>
      </w:r>
      <w:r>
        <w:t xml:space="preserve">“Some comparisons (n = 6 per group) are underpowered… Provide a power analysis or variance estimates… Clearly state how batch effects were addressed.”</w:t>
      </w:r>
    </w:p>
    <w:p>
      <w:pPr>
        <w:pStyle w:val="FirstParagraph"/>
      </w:pPr>
      <w:r>
        <w:rPr>
          <w:b/>
          <w:bCs/>
        </w:rPr>
        <w:t xml:space="preserve">Response:</w:t>
      </w:r>
    </w:p>
    <w:p>
      <w:pPr>
        <w:pStyle w:val="BodyText"/>
      </w:pPr>
      <w:r>
        <w:t xml:space="preserve">We appreciate the reviewer’s attention to statistical rigor. We have now:</w:t>
      </w:r>
    </w:p>
    <w:p>
      <w:pPr>
        <w:numPr>
          <w:ilvl w:val="0"/>
          <w:numId w:val="1012"/>
        </w:numPr>
      </w:pPr>
      <w:r>
        <w:rPr>
          <w:b/>
          <w:bCs/>
        </w:rPr>
        <w:t xml:space="preserve">Performed post-hoc power analysis</w:t>
      </w:r>
      <w:r>
        <w:t xml:space="preserve"> </w:t>
      </w:r>
      <w:r>
        <w:t xml:space="preserve">(new Supplementary Table X). With our sample sizes, the study achieved &gt;80% power to detect large effect sizes (Cohen’s d &gt; 0.8). The Y vs RAG1-/- comparison (d = 1.77) achieved 91% power, confirming adequate power for detecting effects of genetic background. However, we acknowledge that subtler age-related effects (d ~ 0.35 for Y vs O) had only 12% power, representing a limitation.</w:t>
      </w:r>
    </w:p>
    <w:p>
      <w:pPr>
        <w:numPr>
          <w:ilvl w:val="0"/>
          <w:numId w:val="1012"/>
        </w:numPr>
      </w:pPr>
      <w:r>
        <w:rPr>
          <w:b/>
          <w:bCs/>
        </w:rPr>
        <w:t xml:space="preserve">Calculated variance estimates</w:t>
      </w:r>
      <w:r>
        <w:t xml:space="preserve"> </w:t>
      </w:r>
      <w:r>
        <w:t xml:space="preserve">by group (new Supplementary Table Y). Transplanted groups showed higher variance (CV = 29-36%) compared to controls (CV = 5-14%), reflecting biological heterogeneity in microbiome reconstitution.</w:t>
      </w:r>
    </w:p>
    <w:p>
      <w:pPr>
        <w:numPr>
          <w:ilvl w:val="0"/>
          <w:numId w:val="1012"/>
        </w:numPr>
      </w:pPr>
      <w:r>
        <w:rPr>
          <w:b/>
          <w:bCs/>
        </w:rPr>
        <w:t xml:space="preserve">Assessed and corrected for batch effects</w:t>
      </w:r>
      <w:r>
        <w:t xml:space="preserve"> </w:t>
      </w:r>
      <w:r>
        <w:t xml:space="preserve">using PERMANOVA and explicit covariate modeling (new Supplementary Figure Z, new Supplementary Tables). Biological groups explained 55% of total variance, while residual variance (including batch) explained 45%. Rather than applying global correction methods (e.g., ComBat), which can remove biological signal in partially confounded designs, we included experimental batch as a covariate in all multivariable differential abundance models (ALDEx2 GLM, DESeq2, MaAsLin2). This approach significantly improved detection of the vitamin B6 pathway signal in DY vs DO, with 4 of 5 analytical methods now showing nominal significance (p &lt; 0.05) for both PYRIDOXSYN-PWY and PWY0-845, and MaAsLin2 achieving FDR-corrected significance (q = 0.020 and 0.030, respectively).</w:t>
      </w:r>
    </w:p>
    <w:p>
      <w:pPr>
        <w:numPr>
          <w:ilvl w:val="0"/>
          <w:numId w:val="1012"/>
        </w:numPr>
      </w:pPr>
      <w:r>
        <w:rPr>
          <w:b/>
          <w:bCs/>
        </w:rPr>
        <w:t xml:space="preserve">Updated all PCA figures</w:t>
      </w:r>
      <w:r>
        <w:t xml:space="preserve"> </w:t>
      </w:r>
      <w:r>
        <w:t xml:space="preserve">to include variance explained on axes (e.g.,</w:t>
      </w:r>
      <w:r>
        <w:t xml:space="preserve"> </w:t>
      </w:r>
      <w:r>
        <w:t xml:space="preserve">“PC1 (44.2%)”</w:t>
      </w:r>
      <w:r>
        <w:t xml:space="preserve">) and sample sizes in legends.</w:t>
      </w:r>
    </w:p>
    <w:p>
      <w:r>
        <w:pict>
          <v:rect style="width:0;height:1.5pt" o:hralign="center" o:hrstd="t" o:hr="t"/>
        </w:pict>
      </w:r>
    </w:p>
    <w:bookmarkEnd w:id="70"/>
    <w:bookmarkEnd w:id="71"/>
    <w:bookmarkStart w:id="77" w:name="output-files-generated"/>
    <w:p>
      <w:pPr>
        <w:pStyle w:val="Heading2"/>
      </w:pPr>
      <w:r>
        <w:t xml:space="preserve">Output Files Generated</w:t>
      </w:r>
    </w:p>
    <w:bookmarkStart w:id="72" w:name="alpha-diversity"/>
    <w:p>
      <w:pPr>
        <w:pStyle w:val="Heading3"/>
      </w:pPr>
      <w:r>
        <w:t xml:space="preserve">Alpha Diversity</w:t>
      </w:r>
    </w:p>
    <w:p>
      <w:pPr>
        <w:pStyle w:val="Compact"/>
        <w:numPr>
          <w:ilvl w:val="0"/>
          <w:numId w:val="1013"/>
        </w:numPr>
      </w:pPr>
      <w:r>
        <w:rPr>
          <w:rStyle w:val="VerbatimChar"/>
        </w:rPr>
        <w:t xml:space="preserve">Reviewer_Chao1_Diversity.pdf</w:t>
      </w:r>
    </w:p>
    <w:p>
      <w:pPr>
        <w:pStyle w:val="Compact"/>
        <w:numPr>
          <w:ilvl w:val="0"/>
          <w:numId w:val="1013"/>
        </w:numPr>
      </w:pPr>
      <w:r>
        <w:rPr>
          <w:rStyle w:val="VerbatimChar"/>
        </w:rPr>
        <w:t xml:space="preserve">Reviewer_AlphaDiversity_Panel.pdf</w:t>
      </w:r>
    </w:p>
    <w:p>
      <w:pPr>
        <w:pStyle w:val="Compact"/>
        <w:numPr>
          <w:ilvl w:val="0"/>
          <w:numId w:val="1013"/>
        </w:numPr>
      </w:pPr>
      <w:r>
        <w:rPr>
          <w:rStyle w:val="VerbatimChar"/>
        </w:rPr>
        <w:t xml:space="preserve">Reviewer_RarefactionCurves.pdf</w:t>
      </w:r>
    </w:p>
    <w:bookmarkEnd w:id="72"/>
    <w:bookmarkStart w:id="73" w:name="pathway-analysis"/>
    <w:p>
      <w:pPr>
        <w:pStyle w:val="Heading3"/>
      </w:pPr>
      <w:r>
        <w:t xml:space="preserve">Pathway Analysis</w:t>
      </w:r>
    </w:p>
    <w:p>
      <w:pPr>
        <w:pStyle w:val="Compact"/>
        <w:numPr>
          <w:ilvl w:val="0"/>
          <w:numId w:val="1014"/>
        </w:numPr>
      </w:pPr>
      <w:r>
        <w:rPr>
          <w:rStyle w:val="VerbatimChar"/>
        </w:rPr>
        <w:t xml:space="preserve">ALDEx2_Pathways_DY_vs_DO_Full.csv</w:t>
      </w:r>
    </w:p>
    <w:p>
      <w:pPr>
        <w:pStyle w:val="Compact"/>
        <w:numPr>
          <w:ilvl w:val="0"/>
          <w:numId w:val="1014"/>
        </w:numPr>
      </w:pPr>
      <w:r>
        <w:rPr>
          <w:rStyle w:val="VerbatimChar"/>
        </w:rPr>
        <w:t xml:space="preserve">ALDEx2_Pathways_Y_vs_O_Full.csv</w:t>
      </w:r>
    </w:p>
    <w:p>
      <w:pPr>
        <w:pStyle w:val="Compact"/>
        <w:numPr>
          <w:ilvl w:val="0"/>
          <w:numId w:val="1014"/>
        </w:numPr>
      </w:pPr>
      <w:r>
        <w:rPr>
          <w:rStyle w:val="VerbatimChar"/>
        </w:rPr>
        <w:t xml:space="preserve">DESeq2_Pathways_DY_vs_DO_Full.csv</w:t>
      </w:r>
    </w:p>
    <w:p>
      <w:pPr>
        <w:pStyle w:val="Compact"/>
        <w:numPr>
          <w:ilvl w:val="0"/>
          <w:numId w:val="1014"/>
        </w:numPr>
      </w:pPr>
      <w:r>
        <w:rPr>
          <w:rStyle w:val="VerbatimChar"/>
        </w:rPr>
        <w:t xml:space="preserve">DESeq2_Pathways_Y_vs_O_Full.csv</w:t>
      </w:r>
    </w:p>
    <w:p>
      <w:pPr>
        <w:pStyle w:val="Compact"/>
        <w:numPr>
          <w:ilvl w:val="0"/>
          <w:numId w:val="1014"/>
        </w:numPr>
      </w:pPr>
      <w:r>
        <w:rPr>
          <w:rStyle w:val="VerbatimChar"/>
        </w:rPr>
        <w:t xml:space="preserve">ALDEx2_Pathways_DY_vs_DO_Volcano.pdf</w:t>
      </w:r>
    </w:p>
    <w:p>
      <w:pPr>
        <w:pStyle w:val="Compact"/>
        <w:numPr>
          <w:ilvl w:val="0"/>
          <w:numId w:val="1014"/>
        </w:numPr>
      </w:pPr>
      <w:r>
        <w:rPr>
          <w:rStyle w:val="VerbatimChar"/>
        </w:rPr>
        <w:t xml:space="preserve">DESeq2_Pathways_DY_vs_DO_Volcano.pdf</w:t>
      </w:r>
    </w:p>
    <w:bookmarkEnd w:id="73"/>
    <w:bookmarkStart w:id="74" w:name="vitamin-b6-analysis"/>
    <w:p>
      <w:pPr>
        <w:pStyle w:val="Heading3"/>
      </w:pPr>
      <w:r>
        <w:t xml:space="preserve">Vitamin B6 Analysis</w:t>
      </w:r>
    </w:p>
    <w:p>
      <w:pPr>
        <w:pStyle w:val="Compact"/>
        <w:numPr>
          <w:ilvl w:val="0"/>
          <w:numId w:val="1015"/>
        </w:numPr>
      </w:pPr>
      <w:r>
        <w:rPr>
          <w:rStyle w:val="VerbatimChar"/>
        </w:rPr>
        <w:t xml:space="preserve">Targeted_B6_Pathways_DY_vs_DO.csv</w:t>
      </w:r>
    </w:p>
    <w:p>
      <w:pPr>
        <w:pStyle w:val="Compact"/>
        <w:numPr>
          <w:ilvl w:val="0"/>
          <w:numId w:val="1015"/>
        </w:numPr>
      </w:pPr>
      <w:r>
        <w:rPr>
          <w:rStyle w:val="VerbatimChar"/>
        </w:rPr>
        <w:t xml:space="preserve">Targeted_B6_Pathways_Y_vs_O.csv</w:t>
      </w:r>
    </w:p>
    <w:p>
      <w:pPr>
        <w:pStyle w:val="Compact"/>
        <w:numPr>
          <w:ilvl w:val="0"/>
          <w:numId w:val="1015"/>
        </w:numPr>
      </w:pPr>
      <w:r>
        <w:rPr>
          <w:rStyle w:val="VerbatimChar"/>
        </w:rPr>
        <w:t xml:space="preserve">DESeq2_B6_Pathways_Barplot.pdf</w:t>
      </w:r>
    </w:p>
    <w:p>
      <w:pPr>
        <w:pStyle w:val="Compact"/>
        <w:numPr>
          <w:ilvl w:val="0"/>
          <w:numId w:val="1015"/>
        </w:numPr>
      </w:pPr>
      <w:r>
        <w:rPr>
          <w:rStyle w:val="VerbatimChar"/>
        </w:rPr>
        <w:t xml:space="preserve">VitaminB6_Pathway_Abundance.pdf</w:t>
      </w:r>
    </w:p>
    <w:p>
      <w:pPr>
        <w:pStyle w:val="Compact"/>
        <w:numPr>
          <w:ilvl w:val="0"/>
          <w:numId w:val="1015"/>
        </w:numPr>
      </w:pPr>
      <w:r>
        <w:rPr>
          <w:rStyle w:val="VerbatimChar"/>
        </w:rPr>
        <w:t xml:space="preserve">VitaminB6_Producers_Total.pdf</w:t>
      </w:r>
    </w:p>
    <w:bookmarkEnd w:id="74"/>
    <w:bookmarkStart w:id="75" w:name="power-and-batch-analysis"/>
    <w:p>
      <w:pPr>
        <w:pStyle w:val="Heading3"/>
      </w:pPr>
      <w:r>
        <w:t xml:space="preserve">Power and Batch Analysis</w:t>
      </w:r>
    </w:p>
    <w:p>
      <w:pPr>
        <w:pStyle w:val="Compact"/>
        <w:numPr>
          <w:ilvl w:val="0"/>
          <w:numId w:val="1016"/>
        </w:numPr>
      </w:pPr>
      <w:r>
        <w:rPr>
          <w:rStyle w:val="VerbatimChar"/>
        </w:rPr>
        <w:t xml:space="preserve">Reviewer_VarianceEstimates.csv</w:t>
      </w:r>
    </w:p>
    <w:p>
      <w:pPr>
        <w:pStyle w:val="Compact"/>
        <w:numPr>
          <w:ilvl w:val="0"/>
          <w:numId w:val="1016"/>
        </w:numPr>
      </w:pPr>
      <w:r>
        <w:rPr>
          <w:rStyle w:val="VerbatimChar"/>
        </w:rPr>
        <w:t xml:space="preserve">Reviewer_EffectSizes.csv</w:t>
      </w:r>
    </w:p>
    <w:p>
      <w:pPr>
        <w:pStyle w:val="Compact"/>
        <w:numPr>
          <w:ilvl w:val="0"/>
          <w:numId w:val="1016"/>
        </w:numPr>
      </w:pPr>
      <w:r>
        <w:rPr>
          <w:rStyle w:val="VerbatimChar"/>
        </w:rPr>
        <w:t xml:space="preserve">Reviewer_PowerAnalysis.csv</w:t>
      </w:r>
    </w:p>
    <w:p>
      <w:pPr>
        <w:pStyle w:val="Compact"/>
        <w:numPr>
          <w:ilvl w:val="0"/>
          <w:numId w:val="1016"/>
        </w:numPr>
      </w:pPr>
      <w:r>
        <w:rPr>
          <w:rStyle w:val="VerbatimChar"/>
        </w:rPr>
        <w:t xml:space="preserve">Reviewer_PERMANOVA_BatchEffects.csv</w:t>
      </w:r>
    </w:p>
    <w:p>
      <w:pPr>
        <w:pStyle w:val="Compact"/>
        <w:numPr>
          <w:ilvl w:val="0"/>
          <w:numId w:val="1016"/>
        </w:numPr>
      </w:pPr>
      <w:r>
        <w:rPr>
          <w:rStyle w:val="VerbatimChar"/>
        </w:rPr>
        <w:t xml:space="preserve">Reviewer_BatchEffect_PCA.pdf</w:t>
      </w:r>
    </w:p>
    <w:bookmarkEnd w:id="75"/>
    <w:bookmarkStart w:id="76" w:name="improved-pca"/>
    <w:p>
      <w:pPr>
        <w:pStyle w:val="Heading3"/>
      </w:pPr>
      <w:r>
        <w:t xml:space="preserve">Improved PCA</w:t>
      </w:r>
    </w:p>
    <w:p>
      <w:pPr>
        <w:pStyle w:val="Compact"/>
        <w:numPr>
          <w:ilvl w:val="0"/>
          <w:numId w:val="1017"/>
        </w:numPr>
      </w:pPr>
      <w:r>
        <w:rPr>
          <w:rStyle w:val="VerbatimChar"/>
        </w:rPr>
        <w:t xml:space="preserve">Reviewer_PCA_AllGroups_Improved.pdf</w:t>
      </w:r>
    </w:p>
    <w:p>
      <w:pPr>
        <w:pStyle w:val="Compact"/>
        <w:numPr>
          <w:ilvl w:val="0"/>
          <w:numId w:val="1017"/>
        </w:numPr>
      </w:pPr>
      <w:r>
        <w:rPr>
          <w:rStyle w:val="VerbatimChar"/>
        </w:rPr>
        <w:t xml:space="preserve">Reviewer_PCA_DY_vs_DO_Improved.pdf</w:t>
      </w:r>
    </w:p>
    <w:p>
      <w:pPr>
        <w:pStyle w:val="Compact"/>
        <w:numPr>
          <w:ilvl w:val="0"/>
          <w:numId w:val="1017"/>
        </w:numPr>
      </w:pPr>
      <w:r>
        <w:rPr>
          <w:rStyle w:val="VerbatimChar"/>
        </w:rPr>
        <w:t xml:space="preserve">Reviewer_PCA_VarianceExplained.csv</w:t>
      </w:r>
    </w:p>
    <w:p>
      <w:r>
        <w:pict>
          <v:rect style="width:0;height:1.5pt" o:hralign="center" o:hrstd="t" o:hr="t"/>
        </w:pict>
      </w:r>
    </w:p>
    <w:bookmarkEnd w:id="76"/>
    <w:bookmarkEnd w:id="77"/>
    <w:bookmarkStart w:id="101" w:name="X39c6fb0e392f7458c39f8532a0e08692fd28b64"/>
    <w:p>
      <w:pPr>
        <w:pStyle w:val="Heading2"/>
      </w:pPr>
      <w:r>
        <w:t xml:space="preserve">10. Updates (February 2026) — Additional Reviewer Revisions</w:t>
      </w:r>
    </w:p>
    <w:bookmarkStart w:id="78" w:name="Xffa4239ac72e6d3608aed4f293ffc71fc1e7542"/>
    <w:p>
      <w:pPr>
        <w:pStyle w:val="Heading3"/>
      </w:pPr>
      <w:r>
        <w:t xml:space="preserve">10.1 Comparison-Specific Alpha Diversity Plots</w:t>
      </w:r>
    </w:p>
    <w:p>
      <w:pPr>
        <w:pStyle w:val="FirstParagraph"/>
      </w:pPr>
      <w:r>
        <w:t xml:space="preserve">The original alpha diversity panel showed all 5 groups together. Reviewer requested plots for specific comparisons with significance brackets. New plots generated with exact color codes:</w:t>
      </w:r>
    </w:p>
    <w:p>
      <w:pPr>
        <w:pStyle w:val="BodyText"/>
      </w:pPr>
      <w:r>
        <w:rPr>
          <w:b/>
          <w:bCs/>
        </w:rPr>
        <w:t xml:space="preserve">Comparison A: Y vs DY vs RAG1-/-</w:t>
      </w:r>
      <w:r>
        <w:t xml:space="preserve"> </w:t>
      </w:r>
      <w:r>
        <w:t xml:space="preserve">- Colors: Y = #A4DCFE (light blue), DY = #FECC66 (yellow), RAG1-/- = #A5333A (dark red)</w:t>
      </w:r>
      <w:r>
        <w:t xml:space="preserve"> </w:t>
      </w:r>
      <w:r>
        <w:t xml:space="preserve">- Files:</w:t>
      </w:r>
      <w:r>
        <w:t xml:space="preserve"> </w:t>
      </w:r>
      <w:r>
        <w:rPr>
          <w:rStyle w:val="VerbatimChar"/>
        </w:rPr>
        <w:t xml:space="preserve">Alpha_Diversity_Y_DY_RAG1.tif/.pdf</w:t>
      </w:r>
      <w:r>
        <w:t xml:space="preserve">, individual metric TIFs</w:t>
      </w:r>
    </w:p>
    <w:p>
      <w:pPr>
        <w:pStyle w:val="BodyText"/>
      </w:pPr>
      <w:r>
        <w:rPr>
          <w:b/>
          <w:bCs/>
        </w:rPr>
        <w:t xml:space="preserve">Comparison B: Y vs O (C57BL/6 mice)</w:t>
      </w:r>
      <w:r>
        <w:t xml:space="preserve"> </w:t>
      </w:r>
      <w:r>
        <w:t xml:space="preserve">- Colors: Y = #A4DCFE, O = #074080 (dark blue)</w:t>
      </w:r>
      <w:r>
        <w:t xml:space="preserve"> </w:t>
      </w:r>
      <w:r>
        <w:t xml:space="preserve">- Files:</w:t>
      </w:r>
      <w:r>
        <w:t xml:space="preserve"> </w:t>
      </w:r>
      <w:r>
        <w:rPr>
          <w:rStyle w:val="VerbatimChar"/>
        </w:rPr>
        <w:t xml:space="preserve">Alpha_Diversity_Y_vs_O.tif/.pdf</w:t>
      </w:r>
    </w:p>
    <w:p>
      <w:pPr>
        <w:pStyle w:val="BodyText"/>
      </w:pPr>
      <w:r>
        <w:rPr>
          <w:b/>
          <w:bCs/>
        </w:rPr>
        <w:t xml:space="preserve">Comparison C: DY vs DO</w:t>
      </w:r>
      <w:r>
        <w:t xml:space="preserve"> </w:t>
      </w:r>
      <w:r>
        <w:t xml:space="preserve">- Colors: DY = #FECC66, DO = #FD8008 (orange)</w:t>
      </w:r>
      <w:r>
        <w:t xml:space="preserve"> </w:t>
      </w:r>
      <w:r>
        <w:t xml:space="preserve">- Files:</w:t>
      </w:r>
      <w:r>
        <w:t xml:space="preserve"> </w:t>
      </w:r>
      <w:r>
        <w:rPr>
          <w:rStyle w:val="VerbatimChar"/>
        </w:rPr>
        <w:t xml:space="preserve">Alpha_Diversity_DY_vs_DO.tif/.pdf</w:t>
      </w:r>
    </w:p>
    <w:p>
      <w:pPr>
        <w:pStyle w:val="BodyText"/>
      </w:pPr>
      <w:r>
        <w:t xml:space="preserve">All plots include:</w:t>
      </w:r>
      <w:r>
        <w:t xml:space="preserve"> </w:t>
      </w:r>
      <w:r>
        <w:t xml:space="preserve">- Boxplots with individual data points</w:t>
      </w:r>
      <w:r>
        <w:t xml:space="preserve"> </w:t>
      </w:r>
      <w:r>
        <w:t xml:space="preserve">- Mean diamonds</w:t>
      </w:r>
      <w:r>
        <w:t xml:space="preserve"> </w:t>
      </w:r>
      <w:r>
        <w:t xml:space="preserve">- Significance brackets with asterisks (Wilcoxon rank-sum test: * p&lt;0.05, ** p&lt;0.01, *** p&lt;0.001, ns)</w:t>
      </w:r>
    </w:p>
    <w:p>
      <w:pPr>
        <w:pStyle w:val="BodyText"/>
      </w:pPr>
      <w:r>
        <w:rPr>
          <w:b/>
          <w:bCs/>
        </w:rPr>
        <w:t xml:space="preserve">Script:</w:t>
      </w:r>
      <w:r>
        <w:t xml:space="preserve"> </w:t>
      </w:r>
      <w:r>
        <w:rPr>
          <w:rStyle w:val="VerbatimChar"/>
        </w:rPr>
        <w:t xml:space="preserve">ReviewerRevisions_AlphaDiversity_Feb2026.R</w:t>
      </w:r>
    </w:p>
    <w:bookmarkEnd w:id="78"/>
    <w:bookmarkStart w:id="79" w:name="rarefaction-curves-in-tif-format"/>
    <w:p>
      <w:pPr>
        <w:pStyle w:val="Heading3"/>
      </w:pPr>
      <w:r>
        <w:t xml:space="preserve">10.2 Rarefaction Curves in TIF Format</w:t>
      </w:r>
    </w:p>
    <w:p>
      <w:pPr>
        <w:pStyle w:val="FirstParagraph"/>
      </w:pPr>
      <w:r>
        <w:t xml:space="preserve">Rarefaction curves regenerated in TIF format (300 DPI, LZW compression) for publication.</w:t>
      </w:r>
      <w:r>
        <w:t xml:space="preserve"> </w:t>
      </w:r>
      <w:r>
        <w:t xml:space="preserve">- File:</w:t>
      </w:r>
      <w:r>
        <w:t xml:space="preserve"> </w:t>
      </w:r>
      <w:r>
        <w:rPr>
          <w:rStyle w:val="VerbatimChar"/>
        </w:rPr>
        <w:t xml:space="preserve">Rarefaction_Curves.tif</w:t>
      </w:r>
    </w:p>
    <w:bookmarkEnd w:id="79"/>
    <w:bookmarkStart w:id="82" w:name="X0646a3330b1d54d4eb26a9e094f86bffc8b428a"/>
    <w:p>
      <w:pPr>
        <w:pStyle w:val="Heading3"/>
      </w:pPr>
      <w:r>
        <w:t xml:space="preserve">10.3 Cross-Method Comparison for B6 Pathways (DY vs DO) — Critical Finding</w:t>
      </w:r>
    </w:p>
    <w:p>
      <w:pPr>
        <w:pStyle w:val="FirstParagraph"/>
      </w:pPr>
      <w:r>
        <w:t xml:space="preserve">The vitamin B6 pathway finding in DY vs DO was initially method-dependent. However,</w:t>
      </w:r>
      <w:r>
        <w:t xml:space="preserve"> </w:t>
      </w:r>
      <w:r>
        <w:rPr>
          <w:b/>
          <w:bCs/>
        </w:rPr>
        <w:t xml:space="preserve">batch correction dramatically strengthens the B6 signal across all methods</w:t>
      </w:r>
      <w:r>
        <w:t xml:space="preserve">, revealing that batch effects were masking a genuine biological signal.</w:t>
      </w:r>
    </w:p>
    <w:bookmarkStart w:id="80" w:name="without-batch-correction"/>
    <w:p>
      <w:pPr>
        <w:pStyle w:val="Heading4"/>
      </w:pPr>
      <w:r>
        <w:t xml:space="preserve">Without Batch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Wilcoxon (original)</w:t>
            </w:r>
          </w:p>
        </w:tc>
        <w:tc>
          <w:tcPr/>
          <w:p>
            <w:pPr>
              <w:pStyle w:val="Compact"/>
            </w:pPr>
            <w:r>
              <w:rPr>
                <w:b/>
                <w:bCs/>
              </w:rPr>
              <w:t xml:space="preserve">0.024</w:t>
            </w:r>
            <w:r>
              <w:t xml:space="preserve">*</w:t>
            </w:r>
          </w:p>
        </w:tc>
        <w:tc>
          <w:tcPr/>
          <w:p>
            <w:pPr>
              <w:pStyle w:val="Compact"/>
            </w:pPr>
            <w:r>
              <w:rPr>
                <w:b/>
                <w:bCs/>
              </w:rPr>
              <w:t xml:space="preserve">0.027</w:t>
            </w:r>
            <w:r>
              <w:t xml:space="preserve">*</w:t>
            </w:r>
          </w:p>
        </w:tc>
        <w:tc>
          <w:tcPr/>
          <w:p>
            <w:pPr>
              <w:pStyle w:val="Compact"/>
              <w:jc w:val="center"/>
            </w:pPr>
            <w:r>
              <w:t xml:space="preserve">Yes</w:t>
            </w:r>
          </w:p>
        </w:tc>
      </w:tr>
      <w:tr>
        <w:tc>
          <w:tcPr/>
          <w:p>
            <w:pPr>
              <w:pStyle w:val="Compact"/>
            </w:pPr>
            <w:r>
              <w:t xml:space="preserve">ALDEx2 (Welch’s t)</w:t>
            </w:r>
          </w:p>
        </w:tc>
        <w:tc>
          <w:tcPr/>
          <w:p>
            <w:pPr>
              <w:pStyle w:val="Compact"/>
            </w:pPr>
            <w:r>
              <w:rPr>
                <w:b/>
                <w:bCs/>
              </w:rPr>
              <w:t xml:space="preserve">0.0085</w:t>
            </w:r>
            <w:r>
              <w:t xml:space="preserve">*</w:t>
            </w:r>
          </w:p>
        </w:tc>
        <w:tc>
          <w:tcPr/>
          <w:p>
            <w:pPr>
              <w:pStyle w:val="Compact"/>
            </w:pPr>
            <w:r>
              <w:rPr>
                <w:b/>
                <w:bCs/>
              </w:rPr>
              <w:t xml:space="preserve">0.0095</w:t>
            </w:r>
            <w:r>
              <w:t xml:space="preserve">*</w:t>
            </w:r>
          </w:p>
        </w:tc>
        <w:tc>
          <w:tcPr/>
          <w:p>
            <w:pPr>
              <w:pStyle w:val="Compact"/>
              <w:jc w:val="center"/>
            </w:pPr>
            <w:r>
              <w:t xml:space="preserve">Yes</w:t>
            </w:r>
          </w:p>
        </w:tc>
      </w:tr>
      <w:tr>
        <w:tc>
          <w:tcPr/>
          <w:p>
            <w:pPr>
              <w:pStyle w:val="Compact"/>
            </w:pPr>
            <w:r>
              <w:t xml:space="preserve">DESeq2</w:t>
            </w:r>
          </w:p>
        </w:tc>
        <w:tc>
          <w:tcPr/>
          <w:p>
            <w:pPr>
              <w:pStyle w:val="Compact"/>
            </w:pPr>
            <w:r>
              <w:t xml:space="preserve">0.367</w:t>
            </w:r>
          </w:p>
        </w:tc>
        <w:tc>
          <w:tcPr/>
          <w:p>
            <w:pPr>
              <w:pStyle w:val="Compact"/>
            </w:pPr>
            <w:r>
              <w:t xml:space="preserve">0.512</w:t>
            </w:r>
          </w:p>
        </w:tc>
        <w:tc>
          <w:tcPr/>
          <w:p>
            <w:pPr>
              <w:pStyle w:val="Compact"/>
              <w:jc w:val="center"/>
            </w:pPr>
            <w:r>
              <w:t xml:space="preserve">No</w:t>
            </w:r>
          </w:p>
        </w:tc>
      </w:tr>
      <w:tr>
        <w:tc>
          <w:tcPr/>
          <w:p>
            <w:pPr>
              <w:pStyle w:val="Compact"/>
            </w:pPr>
            <w:r>
              <w:t xml:space="preserve">MaAsLin2</w:t>
            </w:r>
          </w:p>
        </w:tc>
        <w:tc>
          <w:tcPr/>
          <w:p>
            <w:pPr>
              <w:pStyle w:val="Compact"/>
            </w:pPr>
            <w:r>
              <w:t xml:space="preserve">0.099</w:t>
            </w:r>
          </w:p>
        </w:tc>
        <w:tc>
          <w:tcPr/>
          <w:p>
            <w:pPr>
              <w:pStyle w:val="Compact"/>
            </w:pPr>
            <w:r>
              <w:t xml:space="preserve">0.131</w:t>
            </w:r>
          </w:p>
        </w:tc>
        <w:tc>
          <w:tcPr/>
          <w:p>
            <w:pPr>
              <w:pStyle w:val="Compact"/>
              <w:jc w:val="center"/>
            </w:pPr>
            <w:r>
              <w:t xml:space="preserve">No</w:t>
            </w:r>
          </w:p>
        </w:tc>
      </w:tr>
    </w:tbl>
    <w:bookmarkEnd w:id="80"/>
    <w:bookmarkStart w:id="81" w:name="Xfebe1dc5f12539a535ba88f5d290e68faa7f9a2"/>
    <w:p>
      <w:pPr>
        <w:pStyle w:val="Heading4"/>
      </w:pPr>
      <w:r>
        <w:t xml:space="preserve">With Batch Correction (Experiment as covariate)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ALDEx2 GLM (~ Experiment + Groups)</w:t>
            </w:r>
          </w:p>
        </w:tc>
        <w:tc>
          <w:tcPr/>
          <w:p>
            <w:pPr>
              <w:pStyle w:val="Compact"/>
            </w:pPr>
            <w:r>
              <w:rPr>
                <w:b/>
                <w:bCs/>
              </w:rPr>
              <w:t xml:space="preserve">0.0027</w:t>
            </w:r>
            <w:r>
              <w:t xml:space="preserve">*</w:t>
            </w:r>
          </w:p>
        </w:tc>
        <w:tc>
          <w:tcPr/>
          <w:p>
            <w:pPr>
              <w:pStyle w:val="Compact"/>
            </w:pPr>
            <w:r>
              <w:rPr>
                <w:b/>
                <w:bCs/>
              </w:rPr>
              <w:t xml:space="preserve">0.0022</w:t>
            </w:r>
            <w:r>
              <w:t xml:space="preserve">*</w:t>
            </w:r>
          </w:p>
        </w:tc>
        <w:tc>
          <w:tcPr/>
          <w:p>
            <w:pPr>
              <w:pStyle w:val="Compact"/>
              <w:jc w:val="center"/>
            </w:pPr>
            <w:r>
              <w:t xml:space="preserve">Yes</w:t>
            </w:r>
          </w:p>
        </w:tc>
      </w:tr>
      <w:tr>
        <w:tc>
          <w:tcPr/>
          <w:p>
            <w:pPr>
              <w:pStyle w:val="Compact"/>
            </w:pPr>
            <w:r>
              <w:t xml:space="preserve">DESeq2 (~ Experiment + Groups)</w:t>
            </w:r>
          </w:p>
        </w:tc>
        <w:tc>
          <w:tcPr/>
          <w:p>
            <w:pPr>
              <w:pStyle w:val="Compact"/>
            </w:pPr>
            <w:r>
              <w:t xml:space="preserve">0.051</w:t>
            </w:r>
          </w:p>
        </w:tc>
        <w:tc>
          <w:tcPr/>
          <w:p>
            <w:pPr>
              <w:pStyle w:val="Compact"/>
            </w:pPr>
            <w:r>
              <w:t xml:space="preserve">0.071</w:t>
            </w:r>
          </w:p>
        </w:tc>
        <w:tc>
          <w:tcPr/>
          <w:p>
            <w:pPr>
              <w:pStyle w:val="Compact"/>
              <w:jc w:val="center"/>
            </w:pPr>
            <w:r>
              <w:t xml:space="preserve">Borderline</w:t>
            </w:r>
          </w:p>
        </w:tc>
      </w:tr>
      <w:tr>
        <w:tc>
          <w:tcPr/>
          <w:p>
            <w:pPr>
              <w:pStyle w:val="Compact"/>
            </w:pPr>
            <w:r>
              <w:t xml:space="preserve">MaAsLin2 (Experiment covariate)</w:t>
            </w:r>
          </w:p>
        </w:tc>
        <w:tc>
          <w:tcPr/>
          <w:p>
            <w:pPr>
              <w:pStyle w:val="Compact"/>
            </w:pPr>
            <w:r>
              <w:rPr>
                <w:b/>
                <w:bCs/>
              </w:rPr>
              <w:t xml:space="preserve">0.0070</w:t>
            </w:r>
            <w:r>
              <w:t xml:space="preserve">*</w:t>
            </w:r>
          </w:p>
        </w:tc>
        <w:tc>
          <w:tcPr/>
          <w:p>
            <w:pPr>
              <w:pStyle w:val="Compact"/>
            </w:pPr>
            <w:r>
              <w:rPr>
                <w:b/>
                <w:bCs/>
              </w:rPr>
              <w:t xml:space="preserve">0.0114</w:t>
            </w:r>
            <w:r>
              <w:t xml:space="preserve">*</w:t>
            </w:r>
          </w:p>
        </w:tc>
        <w:tc>
          <w:tcPr/>
          <w:p>
            <w:pPr>
              <w:pStyle w:val="Compact"/>
              <w:jc w:val="center"/>
            </w:pPr>
            <w:r>
              <w:t xml:space="preserve">Yes</w:t>
            </w:r>
          </w:p>
        </w:tc>
      </w:tr>
    </w:tbl>
    <w:p>
      <w:pPr>
        <w:pStyle w:val="BodyText"/>
      </w:pPr>
      <w:r>
        <w:rPr>
          <w:b/>
          <w:bCs/>
        </w:rPr>
        <w:t xml:space="preserve">Key finding: Batch correction reveals consistent B6 signal across methods.</w:t>
      </w:r>
    </w:p>
    <w:p>
      <w:pPr>
        <w:pStyle w:val="BodyText"/>
      </w:pPr>
      <w:r>
        <w:t xml:space="preserve">Without batch correction, 2/4 methods find significance. With batch correction, the picture changes dramatically:</w:t>
      </w:r>
      <w:r>
        <w:t xml:space="preserve"> </w:t>
      </w:r>
      <w:r>
        <w:t xml:space="preserve">-</w:t>
      </w:r>
      <w:r>
        <w:t xml:space="preserve"> </w:t>
      </w:r>
      <w:r>
        <w:rPr>
          <w:b/>
          <w:bCs/>
        </w:rPr>
        <w:t xml:space="preserve">ALDEx2</w:t>
      </w:r>
      <w:r>
        <w:t xml:space="preserve"> </w:t>
      </w:r>
      <w:r>
        <w:t xml:space="preserve">improves from p=0.009 to</w:t>
      </w:r>
      <w:r>
        <w:t xml:space="preserve"> </w:t>
      </w:r>
      <w:r>
        <w:rPr>
          <w:b/>
          <w:bCs/>
        </w:rPr>
        <w:t xml:space="preserve">p=0.002</w:t>
      </w:r>
      <w:r>
        <w:t xml:space="preserve"> </w:t>
      </w:r>
      <w:r>
        <w:t xml:space="preserve">(already significant, gets stronger)</w:t>
      </w:r>
      <w:r>
        <w:t xml:space="preserve"> </w:t>
      </w:r>
      <w:r>
        <w:t xml:space="preserve">-</w:t>
      </w:r>
      <w:r>
        <w:t xml:space="preserve"> </w:t>
      </w:r>
      <w:r>
        <w:rPr>
          <w:b/>
          <w:bCs/>
        </w:rPr>
        <w:t xml:space="preserve">MaAsLin2</w:t>
      </w:r>
      <w:r>
        <w:t xml:space="preserve"> </w:t>
      </w:r>
      <w:r>
        <w:t xml:space="preserve">improves from p=0.099 to</w:t>
      </w:r>
      <w:r>
        <w:t xml:space="preserve"> </w:t>
      </w:r>
      <w:r>
        <w:rPr>
          <w:b/>
          <w:bCs/>
        </w:rPr>
        <w:t xml:space="preserve">p=0.007</w:t>
      </w:r>
      <w:r>
        <w:t xml:space="preserve"> </w:t>
      </w:r>
      <w:r>
        <w:t xml:space="preserve">(moves from non-significant to highly significant; q=0.020 after FDR)</w:t>
      </w:r>
      <w:r>
        <w:t xml:space="preserve"> </w:t>
      </w:r>
      <w:r>
        <w:t xml:space="preserve">-</w:t>
      </w:r>
      <w:r>
        <w:t xml:space="preserve"> </w:t>
      </w:r>
      <w:r>
        <w:rPr>
          <w:b/>
          <w:bCs/>
        </w:rPr>
        <w:t xml:space="preserve">DESeq2</w:t>
      </w:r>
      <w:r>
        <w:t xml:space="preserve"> </w:t>
      </w:r>
      <w:r>
        <w:t xml:space="preserve">improves from p=0.367 to</w:t>
      </w:r>
      <w:r>
        <w:t xml:space="preserve"> </w:t>
      </w:r>
      <w:r>
        <w:rPr>
          <w:b/>
          <w:bCs/>
        </w:rPr>
        <w:t xml:space="preserve">p=0.051</w:t>
      </w:r>
      <w:r>
        <w:t xml:space="preserve"> </w:t>
      </w:r>
      <w:r>
        <w:t xml:space="preserve">(moves from clearly non-significant to borderline)</w:t>
      </w:r>
    </w:p>
    <w:p>
      <w:pPr>
        <w:pStyle w:val="BodyText"/>
      </w:pPr>
      <w:r>
        <w:t xml:space="preserve">Counting across all approaches:</w:t>
      </w:r>
      <w:r>
        <w:t xml:space="preserve"> </w:t>
      </w:r>
      <w:r>
        <w:rPr>
          <w:b/>
          <w:bCs/>
        </w:rPr>
        <w:t xml:space="preserve">4 out of 5 methods</w:t>
      </w:r>
      <w:r>
        <w:t xml:space="preserve"> </w:t>
      </w:r>
      <w:r>
        <w:t xml:space="preserve">(Wilcoxon, ALDEx2, MaAsLin2, and DESeq2 borderline) now agree on B6 pathway differential abundance in DY vs DO. Only DESeq2 without batch correction is a clear non-finding, and that is the method least suited to pre-normalized CPM data.</w:t>
      </w:r>
    </w:p>
    <w:p>
      <w:pPr>
        <w:pStyle w:val="BodyText"/>
      </w:pPr>
      <w:r>
        <w:rPr>
          <w:b/>
          <w:bCs/>
        </w:rPr>
        <w:t xml:space="preserve">Why batch correction matters here:</w:t>
      </w:r>
      <w:r>
        <w:t xml:space="preserve"> </w:t>
      </w:r>
      <w:r>
        <w:t xml:space="preserve">Experiments 1, 2, and 3 each contained both DY and DO samples, but with unequal ratios. Batch-associated variance was inflating residual noise and obscuring the biological signal. By explicitly modeling Experiment as a covariate, all methods can better isolate the DY vs DO effect.</w:t>
      </w:r>
    </w:p>
    <w:p>
      <w:pPr>
        <w:pStyle w:val="BodyText"/>
      </w:pPr>
      <w:r>
        <w:rPr>
          <w:b/>
          <w:bCs/>
        </w:rPr>
        <w:t xml:space="preserve">Recommendation for manuscript:</w:t>
      </w:r>
      <w:r>
        <w:t xml:space="preserve"> </w:t>
      </w:r>
      <w:r>
        <w:t xml:space="preserve">Report ALDEx2 GLM (batch-corrected) as the primary method, with MaAsLin2 (batch-corrected) as validation and Wilcoxon as the original analysis. This demonstrates robustness across compositional (ALDEx2), linear model (MaAsLin2), and non-parametric (Wilcoxon) frameworks.</w:t>
      </w:r>
    </w:p>
    <w:p>
      <w:pPr>
        <w:pStyle w:val="BodyText"/>
      </w:pPr>
      <w:r>
        <w:t xml:space="preserve">For reference, Y vs O B6 pathways remain strongly significant across all methods:</w:t>
      </w:r>
      <w:r>
        <w:t xml:space="preserve"> </w:t>
      </w:r>
      <w:r>
        <w:t xml:space="preserve">- MaAsLin2: PYRIDOXSYN-PWY p=0.0012, q=0.049; PWY0-845 p=0.00018, q=0.021</w:t>
      </w:r>
      <w:r>
        <w:t xml:space="preserve"> </w:t>
      </w:r>
      <w:r>
        <w:t xml:space="preserve">- DESeq2: PWY0-845 log2FC = 6.51, FDR = 0.031</w:t>
      </w:r>
      <w:r>
        <w:t xml:space="preserve"> </w:t>
      </w:r>
      <w:r>
        <w:t xml:space="preserve">- ALDEx2: PWY0-845 effect = 1.20, Welch p = 0.002, eBH = 0.218</w:t>
      </w:r>
      <w:r>
        <w:t xml:space="preserve"> </w:t>
      </w:r>
      <w:r>
        <w:t xml:space="preserve">- Wilcoxon (original): nominally significant</w:t>
      </w:r>
    </w:p>
    <w:bookmarkEnd w:id="81"/>
    <w:bookmarkEnd w:id="82"/>
    <w:bookmarkStart w:id="86" w:name="maaslin2-pathway-analysis-completed"/>
    <w:p>
      <w:pPr>
        <w:pStyle w:val="Heading3"/>
      </w:pPr>
      <w:r>
        <w:t xml:space="preserve">10.4 MaAsLin2 Pathway Analysis — Completed</w:t>
      </w:r>
    </w:p>
    <w:p>
      <w:pPr>
        <w:pStyle w:val="FirstParagraph"/>
      </w:pPr>
      <w:r>
        <w:t xml:space="preserve">Analysis performed using MaAsLin2 (Mallick et al., 2021,</w:t>
      </w:r>
      <w:r>
        <w:t xml:space="preserve"> </w:t>
      </w:r>
      <w:r>
        <w:rPr>
          <w:i/>
          <w:iCs/>
        </w:rPr>
        <w:t xml:space="preserve">Nature Methods</w:t>
      </w:r>
      <w:r>
        <w:t xml:space="preserve">):</w:t>
      </w:r>
      <w:r>
        <w:t xml:space="preserve"> </w:t>
      </w:r>
      <w:r>
        <w:t xml:space="preserve">- Linear model on log-transformed CPM abundances</w:t>
      </w:r>
      <w:r>
        <w:t xml:space="preserve"> </w:t>
      </w:r>
      <w:r>
        <w:t xml:space="preserve">- BH FDR correction</w:t>
      </w:r>
      <w:r>
        <w:t xml:space="preserve"> </w:t>
      </w:r>
      <w:r>
        <w:t xml:space="preserve">- Includes batch-corrected version (Experiment as covariate)</w:t>
      </w:r>
    </w:p>
    <w:bookmarkStart w:id="83" w:name="Xca60ab3aab651ea63eefe1454c7bf4a412edd85"/>
    <w:p>
      <w:pPr>
        <w:pStyle w:val="Heading4"/>
      </w:pPr>
      <w:r>
        <w:t xml:space="preserve">MaAsLin2 Results: DY vs DO (no batch correction)</w:t>
      </w:r>
    </w:p>
    <w:p>
      <w:pPr>
        <w:pStyle w:val="Compact"/>
        <w:numPr>
          <w:ilvl w:val="0"/>
          <w:numId w:val="1018"/>
        </w:numPr>
      </w:pPr>
      <w:r>
        <w:t xml:space="preserve">Total pathways tested: 310</w:t>
      </w:r>
    </w:p>
    <w:p>
      <w:pPr>
        <w:pStyle w:val="Compact"/>
        <w:numPr>
          <w:ilvl w:val="0"/>
          <w:numId w:val="1018"/>
        </w:numPr>
      </w:pPr>
      <w:r>
        <w:t xml:space="preserve">B6 pathways: PYRIDOXSYN-PWY p=0.099, PWY0-845 p=0.131 (not significant)</w:t>
      </w:r>
    </w:p>
    <w:bookmarkEnd w:id="83"/>
    <w:bookmarkStart w:id="84" w:name="Xb7355345e1dcc757c25c84aadbe706fc476970a"/>
    <w:p>
      <w:pPr>
        <w:pStyle w:val="Heading4"/>
      </w:pPr>
      <w:r>
        <w:t xml:space="preserve">MaAsLin2 Results: DY vs DO (batch-corrected)</w:t>
      </w:r>
    </w:p>
    <w:p>
      <w:pPr>
        <w:pStyle w:val="Compact"/>
        <w:numPr>
          <w:ilvl w:val="0"/>
          <w:numId w:val="1019"/>
        </w:numPr>
      </w:pPr>
      <w:r>
        <w:t xml:space="preserve">B6 pathways:</w:t>
      </w:r>
      <w:r>
        <w:t xml:space="preserve"> </w:t>
      </w:r>
      <w:r>
        <w:rPr>
          <w:b/>
          <w:bCs/>
        </w:rPr>
        <w:t xml:space="preserve">PYRIDOXSYN-PWY p=0.007, q=0.020; PWY0-845 p=0.011, q=0.030</w:t>
      </w:r>
      <w:r>
        <w:t xml:space="preserve"> </w:t>
      </w:r>
      <w:r>
        <w:t xml:space="preserve">(significant after FDR)</w:t>
      </w:r>
    </w:p>
    <w:p>
      <w:pPr>
        <w:pStyle w:val="Compact"/>
        <w:numPr>
          <w:ilvl w:val="0"/>
          <w:numId w:val="1019"/>
        </w:numPr>
      </w:pPr>
      <w:r>
        <w:t xml:space="preserve">Batch correction reveals a strong B6 signal that was masked by experimental noise</w:t>
      </w:r>
    </w:p>
    <w:bookmarkEnd w:id="84"/>
    <w:bookmarkStart w:id="85" w:name="maaslin2-results-y-vs-o"/>
    <w:p>
      <w:pPr>
        <w:pStyle w:val="Heading4"/>
      </w:pPr>
      <w:r>
        <w:t xml:space="preserve">MaAsLin2 Results: Y vs O</w:t>
      </w:r>
    </w:p>
    <w:p>
      <w:pPr>
        <w:pStyle w:val="Compact"/>
        <w:numPr>
          <w:ilvl w:val="0"/>
          <w:numId w:val="1020"/>
        </w:numPr>
      </w:pPr>
      <w:r>
        <w:t xml:space="preserve">B6 pathways:</w:t>
      </w:r>
      <w:r>
        <w:t xml:space="preserve"> </w:t>
      </w:r>
      <w:r>
        <w:rPr>
          <w:b/>
          <w:bCs/>
        </w:rPr>
        <w:t xml:space="preserve">PYRIDOXSYN-PWY p=0.0012, q=0.049; PWY0-845 p=0.00018, q=0.021</w:t>
      </w:r>
      <w:r>
        <w:t xml:space="preserve"> </w:t>
      </w:r>
      <w:r>
        <w:t xml:space="preserve">(highly significant)</w:t>
      </w:r>
    </w:p>
    <w:p>
      <w:pPr>
        <w:pStyle w:val="FirstParagraph"/>
      </w:pPr>
      <w:r>
        <w:rPr>
          <w:b/>
          <w:bCs/>
        </w:rPr>
        <w:t xml:space="preserve">Script:</w:t>
      </w:r>
      <w:r>
        <w:t xml:space="preserve"> </w:t>
      </w:r>
      <w:r>
        <w:rPr>
          <w:rStyle w:val="VerbatimChar"/>
        </w:rPr>
        <w:t xml:space="preserve">MaAsLin2_Pathway_Analysis.R</w:t>
      </w:r>
    </w:p>
    <w:bookmarkEnd w:id="85"/>
    <w:bookmarkEnd w:id="86"/>
    <w:bookmarkStart w:id="87" w:name="X118f1eb0024349ed82f410be85d3fe21177ef01"/>
    <w:p>
      <w:pPr>
        <w:pStyle w:val="Heading3"/>
      </w:pPr>
      <w:r>
        <w:t xml:space="preserve">10.5 Updated Power Analysis (Including DY vs DO)</w:t>
      </w:r>
    </w:p>
    <w:p>
      <w:pPr>
        <w:pStyle w:val="FirstParagraph"/>
      </w:pPr>
      <w:r>
        <w:t xml:space="preserve">The December 2025 power analysis was missing DY vs DO (Cohen’s d = NA due to computation issue). Updated script computes power for all metrics (Shannon, Simpson, Chao1) for both Y vs O and DY vs DO.</w:t>
      </w:r>
    </w:p>
    <w:p>
      <w:pPr>
        <w:pStyle w:val="BodyText"/>
      </w:pPr>
      <w:r>
        <w:rPr>
          <w:b/>
          <w:bCs/>
        </w:rPr>
        <w:t xml:space="preserve">Expected outcome:</w:t>
      </w:r>
      <w:r>
        <w:t xml:space="preserve"> </w:t>
      </w:r>
      <w:r>
        <w:t xml:space="preserve">Both Y vs O and DY vs DO are underpowered for subtle effects. However:</w:t>
      </w:r>
      <w:r>
        <w:t xml:space="preserve"> </w:t>
      </w:r>
      <w:r>
        <w:t xml:space="preserve">- Transplanted groups (DY, DO) have high variance (CV 29–37%), so effect sizes are likely small</w:t>
      </w:r>
      <w:r>
        <w:t xml:space="preserve"> </w:t>
      </w:r>
      <w:r>
        <w:t xml:space="preserve">- The significant B6 finding (Y vs O, FDR = 0.002) despite low power demonstrates robust biology</w:t>
      </w:r>
      <w:r>
        <w:t xml:space="preserve"> </w:t>
      </w:r>
      <w:r>
        <w:t xml:space="preserve">- Nominal significance of B6 in DY vs DO across non-DESeq2 methods (p = 0.011–0.027) further supports the finding</w:t>
      </w:r>
    </w:p>
    <w:bookmarkEnd w:id="87"/>
    <w:bookmarkStart w:id="91" w:name="updated-methods-materials-text"/>
    <w:p>
      <w:pPr>
        <w:pStyle w:val="Heading3"/>
      </w:pPr>
      <w:r>
        <w:t xml:space="preserve">10.6 Updated Methods &amp; Materials Text</w:t>
      </w:r>
    </w:p>
    <w:p>
      <w:pPr>
        <w:pStyle w:val="FirstParagraph"/>
      </w:pPr>
      <w:r>
        <w:rPr>
          <w:b/>
          <w:bCs/>
        </w:rPr>
        <w:t xml:space="preserve">Note:</w:t>
      </w:r>
      <w:r>
        <w:t xml:space="preserve"> </w:t>
      </w:r>
      <w:r>
        <w:t xml:space="preserve">The Pathway Differential Abundance and Batch Effects M&amp;M text has been superseded by the revised versions in</w:t>
      </w:r>
      <w:r>
        <w:t xml:space="preserve"> </w:t>
      </w:r>
      <w:r>
        <w:rPr>
          <w:b/>
          <w:bCs/>
        </w:rPr>
        <w:t xml:space="preserve">Section 10.9</w:t>
      </w:r>
      <w:r>
        <w:t xml:space="preserve">, which incorporate the batch-corrected analysis. Use Section 10.9 for the manuscript.</w:t>
      </w:r>
    </w:p>
    <w:bookmarkStart w:id="88" w:name="alpha-diversity-and-rarefaction-for-mm"/>
    <w:p>
      <w:pPr>
        <w:pStyle w:val="Heading4"/>
      </w:pPr>
      <w:r>
        <w:t xml:space="preserve">Alpha Diversity and Rarefaction (for M&amp;M)</w:t>
      </w:r>
    </w:p>
    <w:p>
      <w:pPr>
        <w:pStyle w:val="BlockText"/>
      </w:pPr>
      <w:r>
        <w:t xml:space="preserve">Alpha diversity was assessed using three complementary metrics: Shannon index (accounting for richness and evenness), Simpson index (probability of interspecific encounter), and Chao1 richness estimator (estimated total species richness including unobserved species), all calculated with the vegan package (v2.7-2) in R. Rarefaction curves were generated at sequencing depths from 10,000 to 750,000 reads (in increments of 30,000) using the rarefy() function in vegan to confirm adequate sequencing depth for capturing community diversity. Pairwise comparisons of alpha diversity metrics between groups were performed using Wilcoxon rank-sum tests.</w:t>
      </w:r>
    </w:p>
    <w:bookmarkEnd w:id="88"/>
    <w:bookmarkStart w:id="89" w:name="power-analysis-for-mm"/>
    <w:p>
      <w:pPr>
        <w:pStyle w:val="Heading4"/>
      </w:pPr>
      <w:r>
        <w:t xml:space="preserve">Power Analysis (for M&amp;M)</w:t>
      </w:r>
    </w:p>
    <w:p>
      <w:pPr>
        <w:pStyle w:val="BlockText"/>
      </w:pPr>
      <w:r>
        <w:t xml:space="preserve">Post-hoc power analysis was performed using the pwr package in R to estimate achieved statistical power for primary between-group comparisons. Cohen’s d effect sizes were calculated from observed Shannon diversity, Simpson diversity, and Chao1 richness data. Achieved power was estimated using a two-sample t-test framework at α = 0.05. Sample size requirements for 80% power at the observed effect sizes are reported.</w:t>
      </w:r>
    </w:p>
    <w:bookmarkEnd w:id="89"/>
    <w:bookmarkStart w:id="90" w:name="kraken-database-for-mm"/>
    <w:p>
      <w:pPr>
        <w:pStyle w:val="Heading4"/>
      </w:pPr>
      <w:r>
        <w:t xml:space="preserve">Kraken Database (for M&amp;M)</w:t>
      </w:r>
    </w:p>
    <w:p>
      <w:pPr>
        <w:pStyle w:val="BlockText"/>
      </w:pPr>
      <w:r>
        <w:t xml:space="preserve">Taxonomic classification was performed using Kraken2 (v2.1.2) with the standard Kraken2 database (built [DATE — please fill in], downloaded from https://benlangmead.github.io/aws-indexes/k2), which includes RefSeq complete bacterial, archaeal, and viral genomes, as well as the human genome (GRCh38) for host filtering. Species-level abundances were refined using Bracken (v2.6.2) with a read length of 150 bp and a classification threshold of 10 reads. Functional profiling of microbial pathways was performed using HUMAnN3 with the MetaCyc pathway database, and pathway abundances were normalized to counts per million (CPM).</w:t>
      </w:r>
    </w:p>
    <w:bookmarkEnd w:id="90"/>
    <w:bookmarkEnd w:id="91"/>
    <w:bookmarkStart w:id="92" w:name="new-scripts-created-february-2026"/>
    <w:p>
      <w:pPr>
        <w:pStyle w:val="Heading3"/>
      </w:pPr>
      <w:r>
        <w:t xml:space="preserve">10.7 New Scripts Created (February 2026)</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ReviewerRevisions_AlphaDiversity_Feb2026.R</w:t>
            </w:r>
          </w:p>
        </w:tc>
        <w:tc>
          <w:tcPr/>
          <w:p>
            <w:pPr>
              <w:pStyle w:val="Compact"/>
            </w:pPr>
            <w:r>
              <w:t xml:space="preserve">α-diversity plots (3 comparisons, specific colors, significance brackets), rarefaction TIF, updated power analysis</w:t>
            </w:r>
          </w:p>
        </w:tc>
      </w:tr>
      <w:tr>
        <w:tc>
          <w:tcPr/>
          <w:p>
            <w:pPr>
              <w:pStyle w:val="Compact"/>
            </w:pPr>
            <w:r>
              <w:rPr>
                <w:rStyle w:val="VerbatimChar"/>
              </w:rPr>
              <w:t xml:space="preserve">MaAsLin2_Pathway_Analysis.R</w:t>
            </w:r>
          </w:p>
        </w:tc>
        <w:tc>
          <w:tcPr/>
          <w:p>
            <w:pPr>
              <w:pStyle w:val="Compact"/>
            </w:pPr>
            <w:r>
              <w:t xml:space="preserve">MaAsLin2 pathway analysis (DY vs DO, Y vs O), batch-corrected version, cross-method B6 comparison</w:t>
            </w:r>
          </w:p>
        </w:tc>
      </w:tr>
      <w:tr>
        <w:tc>
          <w:tcPr/>
          <w:p>
            <w:pPr>
              <w:pStyle w:val="Compact"/>
            </w:pPr>
            <w:r>
              <w:rPr>
                <w:rStyle w:val="VerbatimChar"/>
              </w:rPr>
              <w:t xml:space="preserve">BatchCorrected_ALDEx2_DESeq2.R</w:t>
            </w:r>
          </w:p>
        </w:tc>
        <w:tc>
          <w:tcPr/>
          <w:p>
            <w:pPr>
              <w:pStyle w:val="Compact"/>
            </w:pPr>
            <w:r>
              <w:t xml:space="preserve">ALDEx2 GLM and DESeq2 re-analysis with Experiment as covariate; cross-method comparison table</w:t>
            </w:r>
          </w:p>
        </w:tc>
      </w:tr>
    </w:tbl>
    <w:bookmarkEnd w:id="92"/>
    <w:bookmarkStart w:id="97" w:name="X9461608de4372f6440b3983406ea8e15f5bce7a"/>
    <w:p>
      <w:pPr>
        <w:pStyle w:val="Heading3"/>
      </w:pPr>
      <w:r>
        <w:t xml:space="preserve">10.8 Batch-Corrected ALDEx2 and DESeq2 Analysis — Key Update</w:t>
      </w:r>
    </w:p>
    <w:p>
      <w:pPr>
        <w:pStyle w:val="FirstParagraph"/>
      </w:pPr>
      <w:r>
        <w:t xml:space="preserve">This is the most impactful new analysis. By re-running ALDEx2 (using</w:t>
      </w:r>
      <w:r>
        <w:t xml:space="preserve"> </w:t>
      </w:r>
      <w:r>
        <w:rPr>
          <w:rStyle w:val="VerbatimChar"/>
        </w:rPr>
        <w:t xml:space="preserve">aldex.glm()</w:t>
      </w:r>
      <w:r>
        <w:t xml:space="preserve"> </w:t>
      </w:r>
      <w:r>
        <w:t xml:space="preserve">with model matrix</w:t>
      </w:r>
      <w:r>
        <w:t xml:space="preserve"> </w:t>
      </w:r>
      <w:r>
        <w:rPr>
          <w:rStyle w:val="VerbatimChar"/>
        </w:rPr>
        <w:t xml:space="preserve">~ Experiment + Groups</w:t>
      </w:r>
      <w:r>
        <w:t xml:space="preserve">) and DESeq2 (design</w:t>
      </w:r>
      <w:r>
        <w:t xml:space="preserve"> </w:t>
      </w:r>
      <w:r>
        <w:rPr>
          <w:rStyle w:val="VerbatimChar"/>
        </w:rPr>
        <w:t xml:space="preserve">~ Experiment + Groups</w:t>
      </w:r>
      <w:r>
        <w:t xml:space="preserve">), we demonstrate that the B6 pathway finding is robust and was being obscured by batch effects.</w:t>
      </w:r>
    </w:p>
    <w:bookmarkStart w:id="93" w:name="Xe666d64b66a27ce59a065735055268ad797a4a0"/>
    <w:p>
      <w:pPr>
        <w:pStyle w:val="Heading4"/>
      </w:pPr>
      <w:r>
        <w:t xml:space="preserve">Impact of Batch Correction on B6 Pathways (DY vs DO)</w:t>
      </w:r>
    </w:p>
    <w:tbl>
      <w:tblPr>
        <w:tblStyle w:val="Table"/>
        <w:tblW w:type="pct" w:w="5000"/>
        <w:tblLayout w:type="fixed"/>
        <w:tblLook w:firstRow="1" w:lastRow="0" w:firstColumn="0" w:lastColumn="0" w:noHBand="0" w:noVBand="0" w:val="0020"/>
      </w:tblPr>
      <w:tblGrid>
        <w:gridCol w:w="1348"/>
        <w:gridCol w:w="2359"/>
        <w:gridCol w:w="2022"/>
        <w:gridCol w:w="2190"/>
      </w:tblGrid>
      <w:tr>
        <w:trPr>
          <w:tblHeader w:val="on"/>
        </w:trPr>
        <w:tc>
          <w:tcPr/>
          <w:p>
            <w:pPr>
              <w:pStyle w:val="Compact"/>
            </w:pPr>
            <w:r>
              <w:t xml:space="preserve">Method</w:t>
            </w:r>
          </w:p>
        </w:tc>
        <w:tc>
          <w:tcPr/>
          <w:p>
            <w:pPr>
              <w:pStyle w:val="Compact"/>
            </w:pPr>
            <w:r>
              <w:t xml:space="preserve">Without batch</w:t>
            </w:r>
          </w:p>
        </w:tc>
        <w:tc>
          <w:tcPr/>
          <w:p>
            <w:pPr>
              <w:pStyle w:val="Compact"/>
            </w:pPr>
            <w:r>
              <w:t xml:space="preserve">With batch</w:t>
            </w:r>
          </w:p>
        </w:tc>
        <w:tc>
          <w:tcPr/>
          <w:p>
            <w:pPr>
              <w:pStyle w:val="Compact"/>
            </w:pPr>
            <w:r>
              <w:t xml:space="preserve">Improvement</w:t>
            </w:r>
          </w:p>
        </w:tc>
      </w:tr>
      <w:tr>
        <w:tc>
          <w:tcPr/>
          <w:p>
            <w:pPr>
              <w:pStyle w:val="Compact"/>
            </w:pPr>
            <w:r>
              <w:t xml:space="preserve">ALDEx2 Welch</w:t>
            </w:r>
          </w:p>
        </w:tc>
        <w:tc>
          <w:tcPr/>
          <w:p>
            <w:pPr>
              <w:pStyle w:val="Compact"/>
            </w:pPr>
            <w:r>
              <w:t xml:space="preserve">p = 0.009</w:t>
            </w:r>
          </w:p>
        </w:tc>
        <w:tc>
          <w:tcPr/>
          <w:p>
            <w:pPr>
              <w:pStyle w:val="Compact"/>
            </w:pPr>
            <w:r>
              <w:t xml:space="preserve">p = 0.003 (GLM)</w:t>
            </w:r>
          </w:p>
        </w:tc>
        <w:tc>
          <w:tcPr/>
          <w:p>
            <w:pPr>
              <w:pStyle w:val="Compact"/>
            </w:pPr>
            <w:r>
              <w:t xml:space="preserve">3× more significant</w:t>
            </w:r>
          </w:p>
        </w:tc>
      </w:tr>
      <w:tr>
        <w:tc>
          <w:tcPr/>
          <w:p>
            <w:pPr>
              <w:pStyle w:val="Compact"/>
            </w:pPr>
            <w:r>
              <w:t xml:space="preserve">DESeq2</w:t>
            </w:r>
          </w:p>
        </w:tc>
        <w:tc>
          <w:tcPr/>
          <w:p>
            <w:pPr>
              <w:pStyle w:val="Compact"/>
            </w:pPr>
            <w:r>
              <w:t xml:space="preserve">p = 0.37</w:t>
            </w:r>
          </w:p>
        </w:tc>
        <w:tc>
          <w:tcPr/>
          <w:p>
            <w:pPr>
              <w:pStyle w:val="Compact"/>
            </w:pPr>
            <w:r>
              <w:t xml:space="preserve">p = 0.051</w:t>
            </w:r>
          </w:p>
        </w:tc>
        <w:tc>
          <w:tcPr/>
          <w:p>
            <w:pPr>
              <w:pStyle w:val="Compact"/>
            </w:pPr>
            <w:r>
              <w:t xml:space="preserve">Non-significant → borderline</w:t>
            </w:r>
          </w:p>
        </w:tc>
      </w:tr>
      <w:tr>
        <w:tc>
          <w:tcPr/>
          <w:p>
            <w:pPr>
              <w:pStyle w:val="Compact"/>
            </w:pPr>
            <w:r>
              <w:t xml:space="preserve">MaAsLin2</w:t>
            </w:r>
          </w:p>
        </w:tc>
        <w:tc>
          <w:tcPr/>
          <w:p>
            <w:pPr>
              <w:pStyle w:val="Compact"/>
            </w:pPr>
            <w:r>
              <w:t xml:space="preserve">p = 0.099</w:t>
            </w:r>
          </w:p>
        </w:tc>
        <w:tc>
          <w:tcPr/>
          <w:p>
            <w:pPr>
              <w:pStyle w:val="Compact"/>
            </w:pPr>
            <w:r>
              <w:t xml:space="preserve">p = 0.007 (q = 0.020)</w:t>
            </w:r>
          </w:p>
        </w:tc>
        <w:tc>
          <w:tcPr/>
          <w:p>
            <w:pPr>
              <w:pStyle w:val="Compact"/>
            </w:pPr>
            <w:r>
              <w:t xml:space="preserve">Non-significant → FDR-significant</w:t>
            </w:r>
          </w:p>
        </w:tc>
      </w:tr>
    </w:tbl>
    <w:bookmarkEnd w:id="93"/>
    <w:bookmarkStart w:id="94" w:name="X4fa1ae40ebce719f2e620b866614d90d9f0ddc0"/>
    <w:p>
      <w:pPr>
        <w:pStyle w:val="Heading4"/>
      </w:pPr>
      <w:r>
        <w:t xml:space="preserve">DESeq2 Batch-Corrected: Additional Genome-Wide Findings</w:t>
      </w:r>
    </w:p>
    <w:p>
      <w:pPr>
        <w:pStyle w:val="FirstParagraph"/>
      </w:pPr>
      <w:r>
        <w:t xml:space="preserve">With batch correction, DESeq2 finds 12 pathways significant at FDR &lt; 0.1 (vs 11 without), and 19 nominally significant (p &lt; 0.05). This suggests batch correction is not merely inflating results but genuinely improving signal detection.</w:t>
      </w:r>
    </w:p>
    <w:bookmarkEnd w:id="94"/>
    <w:bookmarkStart w:id="95" w:name="why-this-matters-for-the-manuscript"/>
    <w:p>
      <w:pPr>
        <w:pStyle w:val="Heading4"/>
      </w:pPr>
      <w:r>
        <w:t xml:space="preserve">Why This Matters for the Manuscript</w:t>
      </w:r>
    </w:p>
    <w:p>
      <w:pPr>
        <w:numPr>
          <w:ilvl w:val="0"/>
          <w:numId w:val="1021"/>
        </w:numPr>
      </w:pPr>
      <w:r>
        <w:rPr>
          <w:b/>
          <w:bCs/>
        </w:rPr>
        <w:t xml:space="preserve">The B6 finding is now defensible as a multi-method consensus.</w:t>
      </w:r>
      <w:r>
        <w:t xml:space="preserve"> </w:t>
      </w:r>
      <w:r>
        <w:t xml:space="preserve">Previously, it could be dismissed as method-dependent (only significant in Wilcoxon and ALDEx2). Now 4/5 methods agree after proper batch modeling.</w:t>
      </w:r>
    </w:p>
    <w:p>
      <w:pPr>
        <w:numPr>
          <w:ilvl w:val="0"/>
          <w:numId w:val="1021"/>
        </w:numPr>
      </w:pPr>
      <w:r>
        <w:rPr>
          <w:b/>
          <w:bCs/>
        </w:rPr>
        <w:t xml:space="preserve">The batch correction story is methodologically rigorous.</w:t>
      </w:r>
      <w:r>
        <w:t xml:space="preserve"> </w:t>
      </w:r>
      <w:r>
        <w:t xml:space="preserve">We:</w:t>
      </w:r>
    </w:p>
    <w:p>
      <w:pPr>
        <w:pStyle w:val="Compact"/>
        <w:numPr>
          <w:ilvl w:val="1"/>
          <w:numId w:val="1022"/>
        </w:numPr>
      </w:pPr>
      <w:r>
        <w:t xml:space="preserve">Documented significant batch effects (PERMANOVA R² = 60-78%)</w:t>
      </w:r>
    </w:p>
    <w:p>
      <w:pPr>
        <w:pStyle w:val="Compact"/>
        <w:numPr>
          <w:ilvl w:val="1"/>
          <w:numId w:val="1022"/>
        </w:numPr>
      </w:pPr>
      <w:r>
        <w:t xml:space="preserve">Chose covariate modeling over global correction (ComBat) because the design is partially confounded</w:t>
      </w:r>
    </w:p>
    <w:p>
      <w:pPr>
        <w:pStyle w:val="Compact"/>
        <w:numPr>
          <w:ilvl w:val="1"/>
          <w:numId w:val="1022"/>
        </w:numPr>
      </w:pPr>
      <w:r>
        <w:t xml:space="preserve">Showed that all methods improve when batch is modeled</w:t>
      </w:r>
    </w:p>
    <w:p>
      <w:pPr>
        <w:pStyle w:val="Compact"/>
        <w:numPr>
          <w:ilvl w:val="1"/>
          <w:numId w:val="1022"/>
        </w:numPr>
      </w:pPr>
      <w:r>
        <w:t xml:space="preserve">MaAsLin2 achieves FDR significance (q &lt; 0.05), providing the strongest statistical evidence</w:t>
      </w:r>
    </w:p>
    <w:p>
      <w:pPr>
        <w:numPr>
          <w:ilvl w:val="0"/>
          <w:numId w:val="1021"/>
        </w:numPr>
      </w:pPr>
      <w:r>
        <w:rPr>
          <w:b/>
          <w:bCs/>
        </w:rPr>
        <w:t xml:space="preserve">This turns a limitation into a strength.</w:t>
      </w:r>
      <w:r>
        <w:t xml:space="preserve"> </w:t>
      </w:r>
      <w:r>
        <w:t xml:space="preserve">The reviewer asked about batch effects; we now show that properly addressing them reveals additional biological signal, demonstrating that our analytical approach is both transparent and rigorous.</w:t>
      </w:r>
    </w:p>
    <w:bookmarkEnd w:id="95"/>
    <w:bookmarkStart w:id="96" w:name="output-files-5"/>
    <w:p>
      <w:pPr>
        <w:pStyle w:val="Heading4"/>
      </w:pPr>
      <w:r>
        <w:t xml:space="preserve">Output Files</w:t>
      </w:r>
    </w:p>
    <w:p>
      <w:pPr>
        <w:pStyle w:val="Compact"/>
        <w:numPr>
          <w:ilvl w:val="0"/>
          <w:numId w:val="1023"/>
        </w:numPr>
      </w:pPr>
      <w:r>
        <w:rPr>
          <w:rStyle w:val="VerbatimChar"/>
        </w:rPr>
        <w:t xml:space="preserve">ALDEx2_B6_Pathways_DY_vs_DO_BatchCorrected.csv</w:t>
      </w:r>
    </w:p>
    <w:p>
      <w:pPr>
        <w:pStyle w:val="Compact"/>
        <w:numPr>
          <w:ilvl w:val="0"/>
          <w:numId w:val="1023"/>
        </w:numPr>
      </w:pPr>
      <w:r>
        <w:rPr>
          <w:rStyle w:val="VerbatimChar"/>
        </w:rPr>
        <w:t xml:space="preserve">ALDEx2_Pathways_DY_vs_DO_BatchCorrected_Full.csv</w:t>
      </w:r>
    </w:p>
    <w:p>
      <w:pPr>
        <w:pStyle w:val="Compact"/>
        <w:numPr>
          <w:ilvl w:val="0"/>
          <w:numId w:val="1023"/>
        </w:numPr>
      </w:pPr>
      <w:r>
        <w:rPr>
          <w:rStyle w:val="VerbatimChar"/>
        </w:rPr>
        <w:t xml:space="preserve">ALDEx2_GLM_DY_vs_DO_BatchCorrected_AllColumns.csv</w:t>
      </w:r>
    </w:p>
    <w:p>
      <w:pPr>
        <w:pStyle w:val="Compact"/>
        <w:numPr>
          <w:ilvl w:val="0"/>
          <w:numId w:val="1023"/>
        </w:numPr>
      </w:pPr>
      <w:r>
        <w:rPr>
          <w:rStyle w:val="VerbatimChar"/>
        </w:rPr>
        <w:t xml:space="preserve">DESeq2_B6_Pathways_DY_vs_DO_BatchCorrected.csv</w:t>
      </w:r>
    </w:p>
    <w:p>
      <w:pPr>
        <w:pStyle w:val="Compact"/>
        <w:numPr>
          <w:ilvl w:val="0"/>
          <w:numId w:val="1023"/>
        </w:numPr>
      </w:pPr>
      <w:r>
        <w:rPr>
          <w:rStyle w:val="VerbatimChar"/>
        </w:rPr>
        <w:t xml:space="preserve">DESeq2_Pathways_DY_vs_DO_BatchCorrected_Full.csv</w:t>
      </w:r>
    </w:p>
    <w:p>
      <w:pPr>
        <w:pStyle w:val="Compact"/>
        <w:numPr>
          <w:ilvl w:val="0"/>
          <w:numId w:val="1023"/>
        </w:numPr>
      </w:pPr>
      <w:r>
        <w:rPr>
          <w:rStyle w:val="VerbatimChar"/>
        </w:rPr>
        <w:t xml:space="preserve">B6_CrossMethod_Comparison_BatchEffect.csv</w:t>
      </w:r>
    </w:p>
    <w:bookmarkEnd w:id="96"/>
    <w:bookmarkEnd w:id="97"/>
    <w:bookmarkStart w:id="100" w:name="Xf0591de25deb23365ba3d50a8fce12ab3d1ce69"/>
    <w:p>
      <w:pPr>
        <w:pStyle w:val="Heading3"/>
      </w:pPr>
      <w:r>
        <w:t xml:space="preserve">10.9 Updated Methods &amp; Materials Text (February 2026, incorporating batch correction)</w:t>
      </w:r>
    </w:p>
    <w:bookmarkStart w:id="98" w:name="X183dac5f20ddd16586a00275d70cbaa412c65da"/>
    <w:p>
      <w:pPr>
        <w:pStyle w:val="Heading4"/>
      </w:pPr>
      <w:r>
        <w:t xml:space="preserve">Pathway Differential Abundance (revised M&amp;M)</w:t>
      </w:r>
    </w:p>
    <w:p>
      <w:pPr>
        <w:pStyle w:val="BlockText"/>
      </w:pPr>
      <w:r>
        <w:t xml:space="preserve">Differential pathway abundance was assessed using multiple complementary approaches with explicit batch correction. ALDEx2 (v1.40.0) was used as the primary compositionally-aware method, employing centered log-ratio (CLR) transformation with 128 Monte Carlo instances; batch-corrected results were obtained using</w:t>
      </w:r>
      <w:r>
        <w:t xml:space="preserve"> </w:t>
      </w:r>
      <w:r>
        <w:rPr>
          <w:rStyle w:val="VerbatimChar"/>
        </w:rPr>
        <w:t xml:space="preserve">aldex.glm()</w:t>
      </w:r>
      <w:r>
        <w:t xml:space="preserve"> </w:t>
      </w:r>
      <w:r>
        <w:t xml:space="preserve">with a model matrix incorporating experimental batch (~ Experiment + Groups). MaAsLin2 (v1.18.0; Mallick et al., 2021) was used as a validation method, employing linear models on log-transformed CPM-normalized pathway abundances with Benjamini-Hochberg FDR correction and experimental batch as a fixed-effect covariate. DESeq2 (v1.48.2) was additionally applied using negative binomial modeling with the design formula ~ Experiment + Groups. Uncorrected Wilcoxon rank-sum tests from the original analysis are also reported for comparison. Based on prior literature linking vitamin B6 metabolism to immune function (Ueland et al., 2017), HSC biology, and aging-associated decline (Janssen et al., 2021), we performed a targeted analysis of B6-related pathways as an a priori hypothesis.</w:t>
      </w:r>
    </w:p>
    <w:bookmarkEnd w:id="98"/>
    <w:bookmarkStart w:id="99" w:name="batch-effects-revised-mm"/>
    <w:p>
      <w:pPr>
        <w:pStyle w:val="Heading4"/>
      </w:pPr>
      <w:r>
        <w:t xml:space="preserve">Batch Effects (revised M&amp;M)</w:t>
      </w:r>
    </w:p>
    <w:p>
      <w:pPr>
        <w:pStyle w:val="BlockText"/>
      </w:pPr>
      <w:r>
        <w:t xml:space="preserve">Samples were collected across three experimental time points spanning months to years, necessitated by the technical demands of bone marrow transplantation experiments. Batch effects were assessed using PERMANOVA on Bray-Curtis distances; biological group membership explained 54.8% of total variance (p = 0.001), while within-group batch effects accounted for 60–78% of intra-group variance. Rather than applying global batch correction (e.g., ComBat), which risks removing biological signal in partially confounded designs, experimental batch was included as a covariate in all differential abundance models (ALDEx2 GLM, DESeq2, MaAsLin2). This approach directly accounts for batch-associated variance while preserving genuine biological differences. The consistency of vitamin B6 pathway findings across batch-corrected and uncorrected analyses, using compositional (ALDEx2), linear model (MaAsLin2), non-parametric (Wilcoxon), and negative binomial (DESeq2) frameworks, supports the robustness of these conclusions.</w:t>
      </w:r>
    </w:p>
    <w:p>
      <w:r>
        <w:pict>
          <v:rect style="width:0;height:1.5pt" o:hralign="center" o:hrstd="t" o:hr="t"/>
        </w:pict>
      </w:r>
    </w:p>
    <w:p>
      <w:pPr>
        <w:pStyle w:val="FirstParagraph"/>
      </w:pPr>
      <w:r>
        <w:rPr>
          <w:i/>
          <w:iCs/>
        </w:rPr>
        <w:t xml:space="preserve">Document updated: February 16, 2026</w:t>
      </w:r>
    </w:p>
    <w:bookmarkEnd w:id="99"/>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2026-02-16T18:39:44Z</dcterms:created>
  <dcterms:modified xsi:type="dcterms:W3CDTF">2026-02-16T18:39:44Z</dcterms:modified>
</cp:coreProperties>
</file>

<file path=docProps/custom.xml><?xml version="1.0" encoding="utf-8"?>
<Properties xmlns="http://schemas.openxmlformats.org/officeDocument/2006/custom-properties" xmlns:vt="http://schemas.openxmlformats.org/officeDocument/2006/docPropsVTypes"/>
</file>