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C1BC" w14:textId="77777777" w:rsidR="00C92A42" w:rsidRDefault="00F05388">
      <w:pPr>
        <w:pStyle w:val="Title"/>
      </w:pPr>
      <w:r>
        <w:t>Gut Microbiome Dynamics During and After Antibiotic Exposure Account for Bloodstream Infection Epidemiology in Hospitalized Children</w:t>
      </w:r>
    </w:p>
    <w:p w14:paraId="2FB32E61" w14:textId="77777777" w:rsidR="00C92A42" w:rsidRDefault="00F05388">
      <w:pPr>
        <w:spacing w:after="120"/>
        <w:jc w:val="center"/>
      </w:pPr>
      <w:r>
        <w:rPr>
          <w:sz w:val="22"/>
          <w:szCs w:val="22"/>
        </w:rPr>
        <w:t>[Author List]</w:t>
      </w:r>
    </w:p>
    <w:p w14:paraId="0806FF75" w14:textId="77777777" w:rsidR="00C92A42" w:rsidRDefault="00F05388">
      <w:pPr>
        <w:spacing w:after="360"/>
        <w:jc w:val="center"/>
      </w:pPr>
      <w:r>
        <w:rPr>
          <w:i/>
          <w:iCs/>
          <w:sz w:val="20"/>
          <w:szCs w:val="20"/>
        </w:rPr>
        <w:t>[Institutional Affiliations]</w:t>
      </w:r>
    </w:p>
    <w:p w14:paraId="0F82D22C" w14:textId="77777777" w:rsidR="00C92A42" w:rsidRDefault="00F05388">
      <w:pPr>
        <w:pStyle w:val="Heading1"/>
      </w:pPr>
      <w:r>
        <w:t>Abstract</w:t>
      </w:r>
    </w:p>
    <w:p w14:paraId="28C58AF9" w14:textId="77777777" w:rsidR="00C92A42" w:rsidRDefault="00F05388">
      <w:pPr>
        <w:pStyle w:val="Abstract"/>
      </w:pPr>
      <w:r>
        <w:rPr>
          <w:b/>
          <w:bCs/>
        </w:rPr>
        <w:t xml:space="preserve">Background: </w:t>
      </w:r>
      <w:r>
        <w:t>The gut microbiome is increasingly recognized as the reservoir for healthcare-associated bloodstream infections (BSI). Antibiotic exposure is a major BSI risk factor, conventionally attributed to selection of antibiotic-resistant organisms. However, we observed that BSI isolates in hospitalized children were frequently susceptible to antibiotics patients had received, prompting investigation of alternative mechanisms linking antibiotic exposure to pathogen dominance.</w:t>
      </w:r>
    </w:p>
    <w:p w14:paraId="3D7133A5" w14:textId="77777777" w:rsidR="00C92A42" w:rsidRDefault="00F05388">
      <w:pPr>
        <w:pStyle w:val="Abstract"/>
      </w:pPr>
      <w:r>
        <w:rPr>
          <w:b/>
          <w:bCs/>
        </w:rPr>
        <w:t xml:space="preserve">Methods: </w:t>
      </w:r>
      <w:r>
        <w:t>We performed longitudinal metagenomic profiling of 723 fecal samples from 130 hospitalized children across five high-risk populations. We analyzed BSI isolates for genomic identity with fecal strains and antibiotic susceptibility, performed within-patient microbiome dynamics during and after antibiotic exposure, and examined antibiotic resistance gene (ARG) selection.</w:t>
      </w:r>
    </w:p>
    <w:p w14:paraId="3AD71BD4" w14:textId="77777777" w:rsidR="00C92A42" w:rsidRDefault="00F05388">
      <w:pPr>
        <w:pStyle w:val="Abstract"/>
      </w:pPr>
      <w:r>
        <w:rPr>
          <w:b/>
          <w:bCs/>
        </w:rPr>
        <w:t xml:space="preserve">Results: </w:t>
      </w:r>
      <w:r>
        <w:t>BSI isolates were clonally identical to preceding fecal strains yet susceptible to prior antibiotics, challenging the resistance-selection hypothesis. Microbiome analysis revealed two distinct phases of pathogen dominance: during antibiotic exposure, Enterococcus expanded significantly (+5.5%, p=0.018); after antibiotic cessation, Enterobacteriaceae rebounded while protective anaerobes remained depleted (+9.7%, p=0.036). Within-patient ARG analysis showed no significant resistance selection. These phase-spe</w:t>
      </w:r>
      <w:r>
        <w:t>cific patterns of gut dominance may account for the clinical observation that Enterococcus BSI predominates during antibiotic therapy while Enterobacteriaceae BSI increases in the post-antibiotic period.</w:t>
      </w:r>
    </w:p>
    <w:p w14:paraId="69537A84" w14:textId="77777777" w:rsidR="00C92A42" w:rsidRDefault="00F05388">
      <w:pPr>
        <w:pStyle w:val="Abstract"/>
      </w:pPr>
      <w:r>
        <w:rPr>
          <w:b/>
          <w:bCs/>
        </w:rPr>
        <w:t xml:space="preserve">Conclusions: </w:t>
      </w:r>
      <w:r>
        <w:t>Antibiotic exposure creates sequential windows of pathogen dominance—Enterococcus during therapy, Enterobacteriaceae after cessation—that may influence BSI epidemiology in hospitalized patients. Understanding these dynamics has implications for empiric antimicrobial selection, infection surveillance, and prevention strategies.</w:t>
      </w:r>
    </w:p>
    <w:p w14:paraId="42900660" w14:textId="77777777" w:rsidR="00C92A42" w:rsidRDefault="00F05388">
      <w:pPr>
        <w:pStyle w:val="Abstract"/>
        <w:spacing w:before="200" w:after="400"/>
      </w:pPr>
      <w:r>
        <w:rPr>
          <w:b/>
          <w:bCs/>
        </w:rPr>
        <w:t xml:space="preserve">Keywords: </w:t>
      </w:r>
      <w:r>
        <w:t>bloodstream infection, gut microbiome, Enterococcus, Enterobacteriaceae, antibiotic exposure, healthcare-associated infection, pediatric</w:t>
      </w:r>
    </w:p>
    <w:p w14:paraId="2A516459" w14:textId="77777777" w:rsidR="00C92A42" w:rsidRDefault="00F05388">
      <w:pPr>
        <w:pStyle w:val="Heading1"/>
      </w:pPr>
      <w:r>
        <w:t>Introduction</w:t>
      </w:r>
    </w:p>
    <w:p w14:paraId="0F836B26" w14:textId="77777777" w:rsidR="00C92A42" w:rsidRDefault="00F05388">
      <w:pPr>
        <w:spacing w:after="200"/>
      </w:pPr>
      <w:r>
        <w:t xml:space="preserve">Healthcare-associated bloodstream infections (BSI) remain a leading cause of morbidity and mortality in hospitalized patients, particularly among immunocompromised children. Over the past decade, growing evidence has implicated the endogenous microbiome—gut, skin, and oral flora—as the primary reservoir for invasive infections in hospitalized patients. </w:t>
      </w:r>
      <w:r>
        <w:lastRenderedPageBreak/>
        <w:t>Metagenomic studies have demonstrated that BSI-causing organisms are frequently present in the patient's gut microbiome prior to infection, and whole-genome sequencing has confirmed clonal identity between fecal colonizers and subsequent blood isolates in multiple patient populations. This gut-to-blood translocation pathway appears central to BSI pathogenesis in high-risk patients with compromised mucosal barriers, central venous access, or impaired immune defenses.</w:t>
      </w:r>
    </w:p>
    <w:p w14:paraId="3FB248DA" w14:textId="77777777" w:rsidR="00C92A42" w:rsidRDefault="00F05388">
      <w:pPr>
        <w:spacing w:after="200"/>
      </w:pPr>
      <w:r>
        <w:t>The recognition that gut colonization precedes bloodstream infection has important clinical implications. It suggests that understanding what determines gut pathogen dominance could inform BSI prediction and prevention. Among the factors associated with pathogen-dominated gut microbiomes, antibiotic exposure stands out as one of the strongest and most consistent risk factors for subsequent BSI, a relationship observed across patient populations from neonatal intensive care to adult oncology and transplant s</w:t>
      </w:r>
      <w:r>
        <w:t>ettings.</w:t>
      </w:r>
    </w:p>
    <w:p w14:paraId="35A1A7F1" w14:textId="77777777" w:rsidR="00C92A42" w:rsidRDefault="00F05388">
      <w:pPr>
        <w:spacing w:after="200"/>
      </w:pPr>
      <w:r>
        <w:t>The prevailing explanation for the antibiotic-BSI link centers on resistance selection: antibiotics kill susceptible organisms while allowing resistant pathogens to survive, expand, and ultimately translocate. This paradigm has intuitive appeal and is supported by laboratory studies demonstrating enrichment of resistant subpopulations under antibiotic pressure. The resistance-selection model has driven decades of antimicrobial stewardship efforts focused on preventing resistance emergence through appropriat</w:t>
      </w:r>
      <w:r>
        <w:t>e antibiotic selection and duration.</w:t>
      </w:r>
    </w:p>
    <w:p w14:paraId="15B48CBD" w14:textId="77777777" w:rsidR="00C92A42" w:rsidRDefault="00F05388">
      <w:pPr>
        <w:spacing w:after="200"/>
      </w:pPr>
      <w:r>
        <w:t>However, clinical observations at our institution challenged this resistance-centric narrative. In reviewing BSI cases among hospitalized children, we repeatedly encountered a paradox: patients received broad-spectrum antibiotics, subsequently developed BSI with gut-derived pathogens, yet the cultured isolates were fully susceptible to the antibiotics patients had received. Whole-genome sequencing confirmed these were clonally identical to organisms present in the gut prior to infection—not newly acquired r</w:t>
      </w:r>
      <w:r>
        <w:t>esistant strains. If resistance selection explained post-antibiotic BSI, these susceptible organisms should have been eliminated by antibiotic therapy, not enriched.</w:t>
      </w:r>
    </w:p>
    <w:p w14:paraId="4A87ED60" w14:textId="77777777" w:rsidR="00C92A42" w:rsidRDefault="00F05388">
      <w:pPr>
        <w:spacing w:after="200"/>
      </w:pPr>
      <w:r>
        <w:t>This observation prompted us to investigate alternative mechanisms linking antibiotic exposure to pathogen dominance. If resistance does not explain why Enterococcus and Enterobacteriaceae come to dominate the post-antibiotic gut, what does? Understanding the true mechanisms could have important implications for BSI prevention and for interpreting the clinical epidemiology of healthcare-associated infections, including why different organisms cause BSI in different clinical contexts.</w:t>
      </w:r>
    </w:p>
    <w:p w14:paraId="5BAA56FD" w14:textId="77777777" w:rsidR="00C92A42" w:rsidRDefault="00F05388">
      <w:pPr>
        <w:spacing w:after="200"/>
      </w:pPr>
      <w:r>
        <w:t>We therefore conducted a comprehensive analysis of gut microbiome dynamics during and after antibiotic exposure in hospitalized children at high risk for BSI. We combined BSI isolate genomics with longitudinal metagenomic profiling and antibiotic resistance gene analysis to characterize the relationship between antibiotic exposure, pathogen dominance, and subsequent infection.</w:t>
      </w:r>
    </w:p>
    <w:p w14:paraId="30D7FCF4" w14:textId="77777777" w:rsidR="00C92A42" w:rsidRDefault="00F05388">
      <w:pPr>
        <w:pStyle w:val="Heading1"/>
      </w:pPr>
      <w:r>
        <w:t>Methods</w:t>
      </w:r>
    </w:p>
    <w:p w14:paraId="690FFCB2" w14:textId="77777777" w:rsidR="00C92A42" w:rsidRDefault="00F05388">
      <w:pPr>
        <w:pStyle w:val="Heading2"/>
      </w:pPr>
      <w:r>
        <w:lastRenderedPageBreak/>
        <w:t>Study Population</w:t>
      </w:r>
    </w:p>
    <w:p w14:paraId="255E33A0" w14:textId="77777777" w:rsidR="00C92A42" w:rsidRDefault="00F05388">
      <w:pPr>
        <w:spacing w:after="200"/>
      </w:pPr>
      <w:r>
        <w:t>We analyzed samples from hospitalized children at Cincinnati Children's Hospital Medical Center enrolled in prospective cohort studies between [years]. The combined cohort included 723 fecal samples from 130 patients representing five high-risk clinical populations: bone marrow transplant recipients (BMT, n=45), liver transplant recipients (</w:t>
      </w:r>
      <w:proofErr w:type="spellStart"/>
      <w:r>
        <w:t>LvTx</w:t>
      </w:r>
      <w:proofErr w:type="spellEnd"/>
      <w:r>
        <w:t xml:space="preserve">, n=32), children with intestinal failure requiring parenteral nutrition (IF, n=23), small bowel transplant recipients (SB, n=15), and pediatric intensive care unit patients (PICU, n=15). These populations were selected because they </w:t>
      </w:r>
      <w:proofErr w:type="gramStart"/>
      <w:r>
        <w:t>experience</w:t>
      </w:r>
      <w:proofErr w:type="gramEnd"/>
      <w:r>
        <w:t xml:space="preserve"> high rates of gut-derived BSI due to compromised mucosal barriers, central venous access, immunosuppression, and frequent antibiotic exposure.</w:t>
      </w:r>
    </w:p>
    <w:p w14:paraId="29EF3760" w14:textId="77777777" w:rsidR="00C92A42" w:rsidRDefault="00F05388">
      <w:pPr>
        <w:spacing w:after="200"/>
      </w:pPr>
      <w:r>
        <w:t xml:space="preserve">Fecal samples were collected at clinically determined timepoints and stored at -80°C within 4 hours of collection until processing. Patients contributed a median of 5 samples each (interquartile range 3-8), enabling within-patient longitudinal comparisons that control </w:t>
      </w:r>
      <w:proofErr w:type="gramStart"/>
      <w:r>
        <w:t>for between</w:t>
      </w:r>
      <w:proofErr w:type="gramEnd"/>
      <w:r>
        <w:t>-</w:t>
      </w:r>
      <w:proofErr w:type="gramStart"/>
      <w:r>
        <w:t>patient confounders</w:t>
      </w:r>
      <w:proofErr w:type="gramEnd"/>
      <w:r>
        <w:t xml:space="preserve">. Antibiotic exposure data were extracted from the electronic medical record, including drug name, route of administration, dose, and timing of each dose. For each sample, exposure was defined as receipt of systemic antibiotics in the preceding 7 days. Paired analyses compared samples from the same patient collected during different antibiotic exposure states: pre-antibiotic versus during-antibiotic (persistence analysis) and during-antibiotic versus post-antibiotic (recovery </w:t>
      </w:r>
      <w:r>
        <w:t>analysis).</w:t>
      </w:r>
    </w:p>
    <w:p w14:paraId="592C24D5" w14:textId="77777777" w:rsidR="00C92A42" w:rsidRDefault="00F05388">
      <w:pPr>
        <w:pStyle w:val="Heading2"/>
      </w:pPr>
      <w:r>
        <w:t>BSI Isolate Analysis</w:t>
      </w:r>
    </w:p>
    <w:p w14:paraId="0D8DD9BF" w14:textId="77777777" w:rsidR="00C92A42" w:rsidRDefault="00F05388">
      <w:pPr>
        <w:spacing w:after="200"/>
      </w:pPr>
      <w:r>
        <w:t xml:space="preserve">For patients who developed BSI during or after the fecal sampling period, blood culture </w:t>
      </w:r>
      <w:proofErr w:type="gramStart"/>
      <w:r>
        <w:t>isolates</w:t>
      </w:r>
      <w:proofErr w:type="gramEnd"/>
      <w:r>
        <w:t xml:space="preserve"> were retrieved from the clinical microbiology laboratory. Isolates underwent whole-genome sequencing on the Illumina </w:t>
      </w:r>
      <w:proofErr w:type="spellStart"/>
      <w:r>
        <w:t>MiSeq</w:t>
      </w:r>
      <w:proofErr w:type="spellEnd"/>
      <w:r>
        <w:t xml:space="preserve"> platform using 2x250 bp paired-end reads. Reads were assembled using </w:t>
      </w:r>
      <w:proofErr w:type="spellStart"/>
      <w:r>
        <w:t>SPAdes</w:t>
      </w:r>
      <w:proofErr w:type="spellEnd"/>
      <w:r>
        <w:t xml:space="preserve"> and genomes were annotated using </w:t>
      </w:r>
      <w:proofErr w:type="spellStart"/>
      <w:r>
        <w:t>Prokka</w:t>
      </w:r>
      <w:proofErr w:type="spellEnd"/>
      <w:r>
        <w:t>. Genomic identity between fecal and blood isolates was assessed using average nucleotide identity (ANI) calculated with FastANI, with clonality defined as ANI &gt;99.9%. For isolate pairs meeting ANI criteria, we performed SNP-based phylogenetic analysis using Snippy</w:t>
      </w:r>
      <w:r>
        <w:t xml:space="preserve"> to confirm clonal relatedness, defining clonality as fewer than 10 SNPs across the core genome. Antibiotic susceptibility profiles were obtained from routine clinical testing performed according to CLSI guidelines.</w:t>
      </w:r>
    </w:p>
    <w:p w14:paraId="15E72A1D" w14:textId="77777777" w:rsidR="00C92A42" w:rsidRDefault="00F05388">
      <w:pPr>
        <w:pStyle w:val="Heading2"/>
      </w:pPr>
      <w:r>
        <w:t>Metagenomic Profiling</w:t>
      </w:r>
    </w:p>
    <w:p w14:paraId="60475713" w14:textId="77777777" w:rsidR="00C92A42" w:rsidRDefault="00F05388">
      <w:pPr>
        <w:spacing w:after="200"/>
      </w:pPr>
      <w:r>
        <w:t xml:space="preserve">DNA was extracted from approximately 200 mg of fecal material using the </w:t>
      </w:r>
      <w:proofErr w:type="spellStart"/>
      <w:r>
        <w:t>PowerSoil</w:t>
      </w:r>
      <w:proofErr w:type="spellEnd"/>
      <w:r>
        <w:t xml:space="preserve"> DNA Isolation Kit (Qiagen) according to manufacturer protocols. Library preparation was performed using the Nextera DNA Flex Library Preparation Kit (Illumina) and samples were sequenced on the Illumina </w:t>
      </w:r>
      <w:proofErr w:type="spellStart"/>
      <w:r>
        <w:t>NovaSeq</w:t>
      </w:r>
      <w:proofErr w:type="spellEnd"/>
      <w:r>
        <w:t xml:space="preserve"> 6000 platform using 2x150 bp </w:t>
      </w:r>
      <w:proofErr w:type="gramStart"/>
      <w:r>
        <w:t>paired-end</w:t>
      </w:r>
      <w:proofErr w:type="gramEnd"/>
      <w:r>
        <w:t xml:space="preserve"> reads to a target depth of 5 million reads per sample. Raw reads underwent quality filtering using </w:t>
      </w:r>
      <w:proofErr w:type="spellStart"/>
      <w:r>
        <w:t>fastp</w:t>
      </w:r>
      <w:proofErr w:type="spellEnd"/>
      <w:r>
        <w:t xml:space="preserve"> to remove adapters and low-quality bases. Taxonomic profiling was performed using Kraken2 with the standard bacterial database, followed by Bracke</w:t>
      </w:r>
      <w:r>
        <w:t>n for Bayesian re-estimation of abundance at the species level. Samples with fewer than 100,000 classified bacterial reads were excluded.</w:t>
      </w:r>
    </w:p>
    <w:p w14:paraId="2BE46B1D" w14:textId="77777777" w:rsidR="00C92A42" w:rsidRDefault="00F05388">
      <w:pPr>
        <w:spacing w:after="200"/>
      </w:pPr>
      <w:r>
        <w:lastRenderedPageBreak/>
        <w:t xml:space="preserve">Species were classified into functional groups based on clinical significance and oxygen requirements: pathogenic Enterobacteriaceae (E. coli, Klebsiella spp., Enterobacter spp., Citrobacter spp., Serratia spp.), commensal Enterobacteriaceae (other family members without well-established pathogenic potential), obligate anaerobes (Bacteroides, </w:t>
      </w:r>
      <w:proofErr w:type="spellStart"/>
      <w:r>
        <w:t>Prevotella</w:t>
      </w:r>
      <w:proofErr w:type="spellEnd"/>
      <w:r>
        <w:t xml:space="preserve">, Clostridium, </w:t>
      </w:r>
      <w:proofErr w:type="spellStart"/>
      <w:r>
        <w:t>Faecalibacterium</w:t>
      </w:r>
      <w:proofErr w:type="spellEnd"/>
      <w:r>
        <w:t>, and related genera requiring strictly anaerobic conditions), and Enterococcus. This classification allowed assessment of clinically relevant patterns while maintaining mechanistic interpretability.</w:t>
      </w:r>
    </w:p>
    <w:p w14:paraId="74EE10FF" w14:textId="77777777" w:rsidR="00C92A42" w:rsidRDefault="00F05388">
      <w:pPr>
        <w:pStyle w:val="Heading2"/>
      </w:pPr>
      <w:r>
        <w:t>Antibiotic Resistance Gene Analysis</w:t>
      </w:r>
    </w:p>
    <w:p w14:paraId="6C0F0231" w14:textId="77777777" w:rsidR="00C92A42" w:rsidRDefault="00F05388">
      <w:pPr>
        <w:spacing w:after="200"/>
      </w:pPr>
      <w:r>
        <w:t xml:space="preserve">Antibiotic resistance genes were identified using </w:t>
      </w:r>
      <w:proofErr w:type="spellStart"/>
      <w:r>
        <w:t>AMRFinderPlus</w:t>
      </w:r>
      <w:proofErr w:type="spellEnd"/>
      <w:r>
        <w:t xml:space="preserve"> against the NCBI Reference Gene Database with sequence identity threshold of 80% and coverage threshold of 60%. ARG abundance was calculated as reads per kilobase per million mapped reads (RPKM) to normalize for gene length and sequencing depth. ARG diversity was quantified using the Shannon diversity index, and ARG richness was defined as the number of unique resistance genes detected per sample.</w:t>
      </w:r>
    </w:p>
    <w:p w14:paraId="16D3FFE0" w14:textId="77777777" w:rsidR="00C92A42" w:rsidRDefault="00F05388">
      <w:pPr>
        <w:spacing w:after="200"/>
      </w:pPr>
      <w:r>
        <w:t>To distinguish correlation from causation, we performed both cross-sectional analysis (comparing ARG carriage between antibiotic-exposed and unexposed samples across all patients) and paired within-patient analysis (comparing ARG changes within individuals before and after antibiotic exposure). This dual approach allowed us to test whether population-level ARG associations reflect causal selection or confounding.</w:t>
      </w:r>
    </w:p>
    <w:p w14:paraId="5E0BE168" w14:textId="77777777" w:rsidR="00C92A42" w:rsidRDefault="00F05388">
      <w:pPr>
        <w:pStyle w:val="Heading2"/>
      </w:pPr>
      <w:r>
        <w:t>Statistical Analysis</w:t>
      </w:r>
    </w:p>
    <w:p w14:paraId="08D332FE" w14:textId="77777777" w:rsidR="00C92A42" w:rsidRDefault="00F05388">
      <w:pPr>
        <w:spacing w:after="200"/>
      </w:pPr>
      <w:r>
        <w:t>Cross-sectional differential abundance was assessed using three complementary methods: ALDEx2, which uses Bayesian estimation with centered log-ratio transformation; MaAsLin3, which employs linear models with appropriate covariate adjustment; and ANCOM-BC2, which corrects for sampling fraction bias. Associations were considered robust if detected by at least two methods with concordant direction of effect (FDR &lt;0.1). This multi-method approach minimizes false discoveries arising from method-specific assumpt</w:t>
      </w:r>
      <w:r>
        <w:t>ions.</w:t>
      </w:r>
    </w:p>
    <w:p w14:paraId="2957F671" w14:textId="77777777" w:rsidR="00C92A42" w:rsidRDefault="00F05388">
      <w:pPr>
        <w:spacing w:after="200"/>
      </w:pPr>
      <w:r>
        <w:t>Paired longitudinal analyses used linear mixed-effects models implemented in lme4 with patient as a random effect to account for repeated measures. Models were adjusted for age at sampling, underlying diagnosis category, and interval between paired samples. P-values were calculated using Satterthwaite approximation and corrected for multiple testing using the Benjamini-Hochberg procedure.</w:t>
      </w:r>
    </w:p>
    <w:p w14:paraId="2E96216C" w14:textId="77777777" w:rsidR="00C92A42" w:rsidRDefault="00F05388">
      <w:pPr>
        <w:spacing w:after="200"/>
      </w:pPr>
      <w:r>
        <w:t>For unbiased species ranking, all species present in at least 20% of relevant sample pairs were ranked by effect size (during exposure) or recovery rate (after cessation) without prior knowledge of functional classification. Species were annotated post-hoc by functional group. This approach prevents confirmation bias from selective analysis of pre-specified categories. Category differences were compared using Wilcoxon rank-sum tests.</w:t>
      </w:r>
    </w:p>
    <w:p w14:paraId="508CF3F1" w14:textId="77777777" w:rsidR="00C92A42" w:rsidRDefault="00F05388">
      <w:pPr>
        <w:spacing w:after="200"/>
      </w:pPr>
      <w:r>
        <w:t xml:space="preserve">Sensitivity analyses examined consistency across patient populations using stratified analysis within each clinical group (BMT, </w:t>
      </w:r>
      <w:proofErr w:type="spellStart"/>
      <w:r>
        <w:t>LvTx</w:t>
      </w:r>
      <w:proofErr w:type="spellEnd"/>
      <w:r>
        <w:t xml:space="preserve">, IF, SB, PICU). Heterogeneity across strata was </w:t>
      </w:r>
      <w:r>
        <w:lastRenderedPageBreak/>
        <w:t>assessed using ANOVA. Leave-one-out sensitivity analysis examined whether conclusions were robust to exclusion of any single patient population.</w:t>
      </w:r>
    </w:p>
    <w:p w14:paraId="4A7737DF" w14:textId="77777777" w:rsidR="00C92A42" w:rsidRDefault="00F05388">
      <w:pPr>
        <w:pStyle w:val="Heading1"/>
      </w:pPr>
      <w:r>
        <w:t>Results</w:t>
      </w:r>
    </w:p>
    <w:p w14:paraId="5AA73F40" w14:textId="77777777" w:rsidR="00C92A42" w:rsidRDefault="00F05388">
      <w:pPr>
        <w:pStyle w:val="Heading2"/>
      </w:pPr>
      <w:r>
        <w:t>Cohort Characteristics</w:t>
      </w:r>
    </w:p>
    <w:p w14:paraId="5D3260E6" w14:textId="77777777" w:rsidR="00C92A42" w:rsidRDefault="00F05388">
      <w:pPr>
        <w:spacing w:after="200"/>
      </w:pPr>
      <w:r>
        <w:t>The combined cohort included 723 fecal samples from 130 hospitalized children with a median of 5 samples per patient (IQR 3-8). Median age at first sample was 2.4 years (IQR 0.8-7.2). Antibiotic exposure was common: 68% of samples were collected from patients who had received at least one antibiotic in the preceding 7 days. The most frequently administered antibiotics were vancomycin (administered preceding 31% of samples), piperacillin-tazobactam (24%), meropenem (18%), cefepime (15%), and metronidazole (1</w:t>
      </w:r>
      <w:r>
        <w:t>2%). The high frequency of antibiotic exposure and availability of longitudinal samples enabled robust within-patient analysis of microbiome dynamics.</w:t>
      </w:r>
    </w:p>
    <w:p w14:paraId="70BC51E9" w14:textId="77777777" w:rsidR="00C92A42" w:rsidRDefault="00F05388">
      <w:pPr>
        <w:pStyle w:val="Heading2"/>
      </w:pPr>
      <w:r>
        <w:t>BSI Isolates Are Susceptible to Prior Antibiotics, Challenging the Resistance-Selection Hypothesis</w:t>
      </w:r>
    </w:p>
    <w:p w14:paraId="039F493D" w14:textId="77777777" w:rsidR="00C92A42" w:rsidRDefault="00F05388">
      <w:pPr>
        <w:spacing w:after="200"/>
      </w:pPr>
      <w:r>
        <w:t>To test whether antibiotic resistance explains post-antibiotic BSI, we examined BSI cases in patients with matched fecal samples (Figure 1). We identified four patients with BSI in whom genomic comparison between fecal and blood isolates was possible. In each case, the BSI isolate was clonally identical to a fecal isolate collected prior to infection (ANI &gt;99.9%, &lt;10 SNPs), confirming gut-to-blood translocation as the source of BSI.</w:t>
      </w:r>
    </w:p>
    <w:p w14:paraId="10C96ABA" w14:textId="77777777" w:rsidR="00C92A42" w:rsidRDefault="00F05388">
      <w:pPr>
        <w:spacing w:after="200"/>
      </w:pPr>
      <w:r>
        <w:t xml:space="preserve">Critically, in three of four cases, the BSI isolate was fully susceptible to the broad-spectrum antibiotics the patient had received. Patient 1, a bone marrow transplant recipient, received meropenem for 5 days for febrile neutropenia and developed Klebsiella pneumoniae bacteremia on day 8; the blood isolate was susceptible to meropenem (MIC 0.25 </w:t>
      </w:r>
      <w:proofErr w:type="spellStart"/>
      <w:r>
        <w:t>μg</w:t>
      </w:r>
      <w:proofErr w:type="spellEnd"/>
      <w:r>
        <w:t xml:space="preserve">/mL). Patient 2, a liver transplant recipient, received cefepime for 7 days and developed E. coli bacteremia susceptible to cefepime (MIC 0.5 </w:t>
      </w:r>
      <w:proofErr w:type="spellStart"/>
      <w:r>
        <w:t>μg</w:t>
      </w:r>
      <w:proofErr w:type="spellEnd"/>
      <w:r>
        <w:t>/mL). Patient 3, a child with intestinal failure, received piperacillin-tazobactam and developed Enterobacter cloacae BSI with full susceptibility to the administered antibiotic. Only Patient 4, who developed vancomycin-resistant E. faecium BSI during vancomycin therapy, fit the expected resistance-selection paradigm.</w:t>
      </w:r>
    </w:p>
    <w:p w14:paraId="1A101293" w14:textId="77777777" w:rsidR="00C92A42" w:rsidRDefault="00F05388">
      <w:pPr>
        <w:spacing w:after="200"/>
      </w:pPr>
      <w:r>
        <w:t>These findings directly contradict the hypothesis that antibiotic resistance selection drives post-antibiotic BSI. The organisms that translocated and caused bloodstream infection were susceptible to the antibiotics patients received—they should have been killed if resistance were the mechanism of pathogen dominance. This paradox, observed in multiple patients receiving different antibiotic regimens against different organisms, suggested that alternative mechanisms must explain why gut pathogens expand afte</w:t>
      </w:r>
      <w:r>
        <w:t>r antibiotic exposure.</w:t>
      </w:r>
    </w:p>
    <w:p w14:paraId="75A5634C" w14:textId="77777777" w:rsidR="00C92A42" w:rsidRDefault="00F05388">
      <w:pPr>
        <w:spacing w:after="200"/>
      </w:pPr>
      <w:r>
        <w:t xml:space="preserve">To address this question, we first confirmed that resistance selection does not explain pathogen dominance through systematic ARG analysis. We then characterized the </w:t>
      </w:r>
      <w:r>
        <w:lastRenderedPageBreak/>
        <w:t>microbiome dynamics that do explain pathogen expansion during and after antibiotic exposure.</w:t>
      </w:r>
    </w:p>
    <w:p w14:paraId="64DF48E7" w14:textId="77777777" w:rsidR="00C92A42" w:rsidRDefault="00F05388">
      <w:pPr>
        <w:pStyle w:val="Heading2"/>
      </w:pPr>
      <w:r>
        <w:t>Antibiotic Resistance Gene Analysis Confirms Absence of Resistance Selection</w:t>
      </w:r>
    </w:p>
    <w:p w14:paraId="64FCAE24" w14:textId="77777777" w:rsidR="00C92A42" w:rsidRDefault="00F05388">
      <w:pPr>
        <w:spacing w:after="200"/>
      </w:pPr>
      <w:r>
        <w:t>To further test the resistance-selection hypothesis, we analyzed antibiotic resistance gene carriage across our cohort. Cross-sectional analysis identified 213 robust ARG-antibiotic associations, suggesting ARG carriage correlates with antibiotic exposure at the population level.</w:t>
      </w:r>
    </w:p>
    <w:p w14:paraId="4CB18E51" w14:textId="77777777" w:rsidR="00C92A42" w:rsidRDefault="00F05388">
      <w:pPr>
        <w:spacing w:after="200"/>
      </w:pPr>
      <w:r>
        <w:t>However, paired within-patient analysis—which controls for confounding by comparing each patient to themselves—revealed no evidence of resistance selection. Of 90 ARG-antibiotic comparisons, only 1 reached statistical significance (TMP-SMX associated with decreased ARG diversity, p=0.047). No other antibiotic showed significant within-patient ARG selection. ARG richness, diversity, and specific resistance class abundances remained unchanged following exposure to meropenem, cefepime, piperacillin-tazobactam,</w:t>
      </w:r>
      <w:r>
        <w:t xml:space="preserve"> and other broad-spectrum agents.</w:t>
      </w:r>
    </w:p>
    <w:p w14:paraId="52ADA133" w14:textId="77777777" w:rsidR="00C92A42" w:rsidRDefault="00F05388">
      <w:pPr>
        <w:spacing w:after="200"/>
      </w:pPr>
      <w:r>
        <w:t>The disconnect between cross-sectional and paired analyses indicates that ARG associations reflect confounding (sicker patients receive more antibiotics and carry more ARGs) rather than causal selection. Combined with the BSI isolate susceptibility data, these findings rule out resistance as the primary driver of post-antibiotic pathogen dominance in our cohort.</w:t>
      </w:r>
    </w:p>
    <w:p w14:paraId="6A0E1151" w14:textId="77777777" w:rsidR="00C92A42" w:rsidRDefault="00F05388">
      <w:pPr>
        <w:pStyle w:val="Heading2"/>
      </w:pPr>
      <w:r>
        <w:t>Two Phases of Pathogen Dominance: Enterococcus During Exposure, Enterobacteriaceae After Cessation</w:t>
      </w:r>
    </w:p>
    <w:p w14:paraId="38BB50EE" w14:textId="77777777" w:rsidR="00C92A42" w:rsidRDefault="00F05388">
      <w:pPr>
        <w:spacing w:after="200"/>
      </w:pPr>
      <w:r>
        <w:t>Having ruled out resistance selection, we examined microbiome dynamics to understand what does drive pathogen dominance. Paired within-patient analysis revealed two distinct phases with different dominant organisms (Tables 1-2).</w:t>
      </w:r>
    </w:p>
    <w:p w14:paraId="051C81A6" w14:textId="77777777" w:rsidR="00C92A42" w:rsidRDefault="00F05388">
      <w:pPr>
        <w:spacing w:after="200"/>
      </w:pPr>
      <w:r>
        <w:rPr>
          <w:b/>
          <w:bCs/>
        </w:rPr>
        <w:t xml:space="preserve">Phase 1: Enterococcus expansion during antibiotic exposure. </w:t>
      </w:r>
      <w:r>
        <w:t xml:space="preserve">Analysis of 206 within-patient sample pairs (before vs. during antibiotic exposure) showed that Enterococcus species expanded significantly, from 16.3% to 21.8% </w:t>
      </w:r>
      <w:proofErr w:type="gramStart"/>
      <w:r>
        <w:t>mean</w:t>
      </w:r>
      <w:proofErr w:type="gramEnd"/>
      <w:r>
        <w:t xml:space="preserve"> relative abundance (+5.5%, p=0.018). This is consistent with the known intrinsic resistance of Enterococcus to cephalosporins, carbapenems, and other commonly used agents. Enterobacteriaceae remained stable during this phase (25.0% to 25.6%, p=0.81), while </w:t>
      </w:r>
      <w:proofErr w:type="gramStart"/>
      <w:r>
        <w:t>obligate</w:t>
      </w:r>
      <w:proofErr w:type="gramEnd"/>
      <w:r>
        <w:t xml:space="preserve"> anaerobes showed a modest decline (20.9% to 18.8%, p=0.26).</w:t>
      </w:r>
    </w:p>
    <w:p w14:paraId="31A65FD9" w14:textId="77777777" w:rsidR="00C92A42" w:rsidRDefault="00F05388">
      <w:pPr>
        <w:spacing w:before="200" w:after="100"/>
      </w:pPr>
      <w:r>
        <w:rPr>
          <w:b/>
          <w:bCs/>
          <w:sz w:val="22"/>
          <w:szCs w:val="22"/>
        </w:rPr>
        <w:t>Table 1. Microbiome Changes During Antibiotic Exposure (n=206 paired samples)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772"/>
        <w:gridCol w:w="1779"/>
        <w:gridCol w:w="1543"/>
        <w:gridCol w:w="1539"/>
      </w:tblGrid>
      <w:tr w:rsidR="00C92A42" w14:paraId="104CE8DF" w14:textId="77777777">
        <w:tblPrEx>
          <w:tblCellMar>
            <w:top w:w="0" w:type="dxa"/>
            <w:bottom w:w="0" w:type="dxa"/>
          </w:tblCellMar>
        </w:tblPrEx>
        <w:trPr>
          <w:tblHeader/>
        </w:trPr>
        <w:tc>
          <w:tcPr>
            <w:tcW w:w="2400" w:type="dxa"/>
            <w:tcBorders>
              <w:bottom w:val="single" w:sz="1" w:space="0" w:color="auto"/>
            </w:tcBorders>
            <w:shd w:val="clear" w:color="auto" w:fill="E8E8E8"/>
          </w:tcPr>
          <w:p w14:paraId="56B7D78E" w14:textId="77777777" w:rsidR="00C92A42" w:rsidRDefault="00F05388">
            <w:r>
              <w:rPr>
                <w:b/>
                <w:bCs/>
                <w:sz w:val="20"/>
                <w:szCs w:val="20"/>
              </w:rPr>
              <w:t>Functional Group</w:t>
            </w:r>
          </w:p>
        </w:tc>
        <w:tc>
          <w:tcPr>
            <w:tcW w:w="1800" w:type="dxa"/>
            <w:tcBorders>
              <w:bottom w:val="single" w:sz="1" w:space="0" w:color="auto"/>
            </w:tcBorders>
            <w:shd w:val="clear" w:color="auto" w:fill="E8E8E8"/>
          </w:tcPr>
          <w:p w14:paraId="65D5469D" w14:textId="77777777" w:rsidR="00C92A42" w:rsidRDefault="00F05388">
            <w:pPr>
              <w:jc w:val="center"/>
            </w:pPr>
            <w:r>
              <w:rPr>
                <w:b/>
                <w:bCs/>
                <w:sz w:val="20"/>
                <w:szCs w:val="20"/>
              </w:rPr>
              <w:t>Pre-Abx (%)</w:t>
            </w:r>
          </w:p>
        </w:tc>
        <w:tc>
          <w:tcPr>
            <w:tcW w:w="1800" w:type="dxa"/>
            <w:tcBorders>
              <w:bottom w:val="single" w:sz="1" w:space="0" w:color="auto"/>
            </w:tcBorders>
            <w:shd w:val="clear" w:color="auto" w:fill="E8E8E8"/>
          </w:tcPr>
          <w:p w14:paraId="4202E1AE" w14:textId="77777777" w:rsidR="00C92A42" w:rsidRDefault="00F05388">
            <w:pPr>
              <w:jc w:val="center"/>
            </w:pPr>
            <w:r>
              <w:rPr>
                <w:b/>
                <w:bCs/>
                <w:sz w:val="20"/>
                <w:szCs w:val="20"/>
              </w:rPr>
              <w:t>During-Abx (%)</w:t>
            </w:r>
          </w:p>
        </w:tc>
        <w:tc>
          <w:tcPr>
            <w:tcW w:w="1560" w:type="dxa"/>
            <w:tcBorders>
              <w:bottom w:val="single" w:sz="1" w:space="0" w:color="auto"/>
            </w:tcBorders>
            <w:shd w:val="clear" w:color="auto" w:fill="E8E8E8"/>
          </w:tcPr>
          <w:p w14:paraId="0398B897" w14:textId="77777777" w:rsidR="00C92A42" w:rsidRDefault="00F05388">
            <w:pPr>
              <w:jc w:val="center"/>
            </w:pPr>
            <w:r>
              <w:rPr>
                <w:b/>
                <w:bCs/>
                <w:sz w:val="20"/>
                <w:szCs w:val="20"/>
              </w:rPr>
              <w:t>Change</w:t>
            </w:r>
          </w:p>
        </w:tc>
        <w:tc>
          <w:tcPr>
            <w:tcW w:w="1560" w:type="dxa"/>
            <w:tcBorders>
              <w:bottom w:val="single" w:sz="1" w:space="0" w:color="auto"/>
            </w:tcBorders>
            <w:shd w:val="clear" w:color="auto" w:fill="E8E8E8"/>
          </w:tcPr>
          <w:p w14:paraId="14EE2D4F" w14:textId="77777777" w:rsidR="00C92A42" w:rsidRDefault="00F05388">
            <w:pPr>
              <w:jc w:val="center"/>
            </w:pPr>
            <w:r>
              <w:rPr>
                <w:b/>
                <w:bCs/>
                <w:sz w:val="20"/>
                <w:szCs w:val="20"/>
              </w:rPr>
              <w:t>P-value</w:t>
            </w:r>
          </w:p>
        </w:tc>
      </w:tr>
      <w:tr w:rsidR="00C92A42" w14:paraId="2F329BE1" w14:textId="77777777">
        <w:tblPrEx>
          <w:tblCellMar>
            <w:top w:w="0" w:type="dxa"/>
            <w:bottom w:w="0" w:type="dxa"/>
          </w:tblCellMar>
        </w:tblPrEx>
        <w:tc>
          <w:tcPr>
            <w:tcW w:w="2400" w:type="dxa"/>
          </w:tcPr>
          <w:p w14:paraId="718E7D30" w14:textId="77777777" w:rsidR="00C92A42" w:rsidRDefault="00F05388">
            <w:r>
              <w:rPr>
                <w:sz w:val="20"/>
                <w:szCs w:val="20"/>
              </w:rPr>
              <w:t>Obligate Anaerobes</w:t>
            </w:r>
          </w:p>
        </w:tc>
        <w:tc>
          <w:tcPr>
            <w:tcW w:w="1800" w:type="dxa"/>
          </w:tcPr>
          <w:p w14:paraId="026593E6" w14:textId="77777777" w:rsidR="00C92A42" w:rsidRDefault="00F05388">
            <w:pPr>
              <w:jc w:val="center"/>
            </w:pPr>
            <w:r>
              <w:rPr>
                <w:sz w:val="20"/>
                <w:szCs w:val="20"/>
              </w:rPr>
              <w:t>20.9</w:t>
            </w:r>
          </w:p>
        </w:tc>
        <w:tc>
          <w:tcPr>
            <w:tcW w:w="1800" w:type="dxa"/>
          </w:tcPr>
          <w:p w14:paraId="0DE7A2F8" w14:textId="77777777" w:rsidR="00C92A42" w:rsidRDefault="00F05388">
            <w:pPr>
              <w:jc w:val="center"/>
            </w:pPr>
            <w:r>
              <w:rPr>
                <w:sz w:val="20"/>
                <w:szCs w:val="20"/>
              </w:rPr>
              <w:t>18.8</w:t>
            </w:r>
          </w:p>
        </w:tc>
        <w:tc>
          <w:tcPr>
            <w:tcW w:w="1560" w:type="dxa"/>
          </w:tcPr>
          <w:p w14:paraId="0A63B15B" w14:textId="77777777" w:rsidR="00C92A42" w:rsidRDefault="00F05388">
            <w:pPr>
              <w:jc w:val="center"/>
            </w:pPr>
            <w:r>
              <w:rPr>
                <w:sz w:val="20"/>
                <w:szCs w:val="20"/>
              </w:rPr>
              <w:t>-2.1</w:t>
            </w:r>
          </w:p>
        </w:tc>
        <w:tc>
          <w:tcPr>
            <w:tcW w:w="1560" w:type="dxa"/>
          </w:tcPr>
          <w:p w14:paraId="2D97AF73" w14:textId="77777777" w:rsidR="00C92A42" w:rsidRDefault="00F05388">
            <w:pPr>
              <w:jc w:val="center"/>
            </w:pPr>
            <w:r>
              <w:rPr>
                <w:sz w:val="20"/>
                <w:szCs w:val="20"/>
              </w:rPr>
              <w:t>0.26</w:t>
            </w:r>
          </w:p>
        </w:tc>
      </w:tr>
      <w:tr w:rsidR="00C92A42" w14:paraId="13A11934" w14:textId="77777777">
        <w:tblPrEx>
          <w:tblCellMar>
            <w:top w:w="0" w:type="dxa"/>
            <w:bottom w:w="0" w:type="dxa"/>
          </w:tblCellMar>
        </w:tblPrEx>
        <w:tc>
          <w:tcPr>
            <w:tcW w:w="2400" w:type="dxa"/>
          </w:tcPr>
          <w:p w14:paraId="4392DD0E" w14:textId="77777777" w:rsidR="00C92A42" w:rsidRDefault="00F05388">
            <w:r>
              <w:rPr>
                <w:sz w:val="20"/>
                <w:szCs w:val="20"/>
              </w:rPr>
              <w:t>Enterobacteriaceae</w:t>
            </w:r>
          </w:p>
        </w:tc>
        <w:tc>
          <w:tcPr>
            <w:tcW w:w="1800" w:type="dxa"/>
          </w:tcPr>
          <w:p w14:paraId="74374583" w14:textId="77777777" w:rsidR="00C92A42" w:rsidRDefault="00F05388">
            <w:pPr>
              <w:jc w:val="center"/>
            </w:pPr>
            <w:r>
              <w:rPr>
                <w:sz w:val="20"/>
                <w:szCs w:val="20"/>
              </w:rPr>
              <w:t>25.0</w:t>
            </w:r>
          </w:p>
        </w:tc>
        <w:tc>
          <w:tcPr>
            <w:tcW w:w="1800" w:type="dxa"/>
          </w:tcPr>
          <w:p w14:paraId="0772B438" w14:textId="77777777" w:rsidR="00C92A42" w:rsidRDefault="00F05388">
            <w:pPr>
              <w:jc w:val="center"/>
            </w:pPr>
            <w:r>
              <w:rPr>
                <w:sz w:val="20"/>
                <w:szCs w:val="20"/>
              </w:rPr>
              <w:t>25.6</w:t>
            </w:r>
          </w:p>
        </w:tc>
        <w:tc>
          <w:tcPr>
            <w:tcW w:w="1560" w:type="dxa"/>
          </w:tcPr>
          <w:p w14:paraId="5678851C" w14:textId="77777777" w:rsidR="00C92A42" w:rsidRDefault="00F05388">
            <w:pPr>
              <w:jc w:val="center"/>
            </w:pPr>
            <w:r>
              <w:rPr>
                <w:sz w:val="20"/>
                <w:szCs w:val="20"/>
              </w:rPr>
              <w:t>+0.6</w:t>
            </w:r>
          </w:p>
        </w:tc>
        <w:tc>
          <w:tcPr>
            <w:tcW w:w="1560" w:type="dxa"/>
          </w:tcPr>
          <w:p w14:paraId="689768EC" w14:textId="77777777" w:rsidR="00C92A42" w:rsidRDefault="00F05388">
            <w:pPr>
              <w:jc w:val="center"/>
            </w:pPr>
            <w:r>
              <w:rPr>
                <w:sz w:val="20"/>
                <w:szCs w:val="20"/>
              </w:rPr>
              <w:t>0.81</w:t>
            </w:r>
          </w:p>
        </w:tc>
      </w:tr>
      <w:tr w:rsidR="00C92A42" w14:paraId="1BDAD614" w14:textId="77777777">
        <w:tblPrEx>
          <w:tblCellMar>
            <w:top w:w="0" w:type="dxa"/>
            <w:bottom w:w="0" w:type="dxa"/>
          </w:tblCellMar>
        </w:tblPrEx>
        <w:tc>
          <w:tcPr>
            <w:tcW w:w="2400" w:type="dxa"/>
            <w:tcBorders>
              <w:bottom w:val="single" w:sz="1" w:space="0" w:color="auto"/>
            </w:tcBorders>
          </w:tcPr>
          <w:p w14:paraId="26508FD9" w14:textId="77777777" w:rsidR="00C92A42" w:rsidRDefault="00F05388">
            <w:r>
              <w:rPr>
                <w:b/>
                <w:bCs/>
                <w:sz w:val="20"/>
                <w:szCs w:val="20"/>
              </w:rPr>
              <w:t>Enterococcus</w:t>
            </w:r>
          </w:p>
        </w:tc>
        <w:tc>
          <w:tcPr>
            <w:tcW w:w="1800" w:type="dxa"/>
            <w:tcBorders>
              <w:bottom w:val="single" w:sz="1" w:space="0" w:color="auto"/>
            </w:tcBorders>
          </w:tcPr>
          <w:p w14:paraId="7BAB34E5" w14:textId="77777777" w:rsidR="00C92A42" w:rsidRDefault="00F05388">
            <w:pPr>
              <w:jc w:val="center"/>
            </w:pPr>
            <w:r>
              <w:rPr>
                <w:b/>
                <w:bCs/>
                <w:sz w:val="20"/>
                <w:szCs w:val="20"/>
              </w:rPr>
              <w:t>16.3</w:t>
            </w:r>
          </w:p>
        </w:tc>
        <w:tc>
          <w:tcPr>
            <w:tcW w:w="1800" w:type="dxa"/>
            <w:tcBorders>
              <w:bottom w:val="single" w:sz="1" w:space="0" w:color="auto"/>
            </w:tcBorders>
          </w:tcPr>
          <w:p w14:paraId="721936D1" w14:textId="77777777" w:rsidR="00C92A42" w:rsidRDefault="00F05388">
            <w:pPr>
              <w:jc w:val="center"/>
            </w:pPr>
            <w:r>
              <w:rPr>
                <w:b/>
                <w:bCs/>
                <w:sz w:val="20"/>
                <w:szCs w:val="20"/>
              </w:rPr>
              <w:t>21.8</w:t>
            </w:r>
          </w:p>
        </w:tc>
        <w:tc>
          <w:tcPr>
            <w:tcW w:w="1560" w:type="dxa"/>
            <w:tcBorders>
              <w:bottom w:val="single" w:sz="1" w:space="0" w:color="auto"/>
            </w:tcBorders>
          </w:tcPr>
          <w:p w14:paraId="4C58D30E" w14:textId="77777777" w:rsidR="00C92A42" w:rsidRDefault="00F05388">
            <w:pPr>
              <w:jc w:val="center"/>
            </w:pPr>
            <w:r>
              <w:rPr>
                <w:b/>
                <w:bCs/>
                <w:sz w:val="20"/>
                <w:szCs w:val="20"/>
              </w:rPr>
              <w:t>+5.5</w:t>
            </w:r>
          </w:p>
        </w:tc>
        <w:tc>
          <w:tcPr>
            <w:tcW w:w="1560" w:type="dxa"/>
            <w:tcBorders>
              <w:bottom w:val="single" w:sz="1" w:space="0" w:color="auto"/>
            </w:tcBorders>
          </w:tcPr>
          <w:p w14:paraId="06A5A5EB" w14:textId="77777777" w:rsidR="00C92A42" w:rsidRDefault="00F05388">
            <w:pPr>
              <w:jc w:val="center"/>
            </w:pPr>
            <w:r>
              <w:rPr>
                <w:b/>
                <w:bCs/>
                <w:sz w:val="20"/>
                <w:szCs w:val="20"/>
              </w:rPr>
              <w:t>0.018</w:t>
            </w:r>
          </w:p>
        </w:tc>
      </w:tr>
    </w:tbl>
    <w:p w14:paraId="35538F77" w14:textId="77777777" w:rsidR="00C92A42" w:rsidRDefault="00C92A42">
      <w:pPr>
        <w:spacing w:after="300"/>
      </w:pPr>
    </w:p>
    <w:p w14:paraId="61B385AC" w14:textId="77777777" w:rsidR="00C92A42" w:rsidRDefault="00F05388">
      <w:pPr>
        <w:spacing w:after="200"/>
      </w:pPr>
      <w:r>
        <w:rPr>
          <w:b/>
          <w:bCs/>
        </w:rPr>
        <w:lastRenderedPageBreak/>
        <w:t xml:space="preserve">Phase 2: Enterobacteriaceae expansion after antibiotic cessation. </w:t>
      </w:r>
      <w:r>
        <w:t>Among 46-58 sample pairs spanning the transition from on- to off-antibiotics, a different pattern emerged. Enterobacteriaceae abundance increased significantly from 27.7% to 37.5% (+9.7%, p=0.036), while obligate anaerobes—which normally provide colonization resistance—remained depleted (13.4% to 14.6%, p=0.99). Enterococcus declined after antibiotics stopped (-7.9%, p=0.035), consistent with loss of its selective advantage when antibiotic pressure is removed.</w:t>
      </w:r>
    </w:p>
    <w:p w14:paraId="3F1BEF3A" w14:textId="77777777" w:rsidR="00C92A42" w:rsidRDefault="00F05388">
      <w:pPr>
        <w:spacing w:before="200" w:after="100"/>
      </w:pPr>
      <w:r>
        <w:rPr>
          <w:b/>
          <w:bCs/>
          <w:sz w:val="22"/>
          <w:szCs w:val="22"/>
        </w:rPr>
        <w:t>Table 2. Microbiome Changes After Antibiotic Cessation (n=46-58 paired samples)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1320"/>
        <w:gridCol w:w="1320"/>
        <w:gridCol w:w="1381"/>
        <w:gridCol w:w="1403"/>
        <w:gridCol w:w="1340"/>
      </w:tblGrid>
      <w:tr w:rsidR="00C92A42" w14:paraId="657CAC71" w14:textId="77777777">
        <w:tblPrEx>
          <w:tblCellMar>
            <w:top w:w="0" w:type="dxa"/>
            <w:bottom w:w="0" w:type="dxa"/>
          </w:tblCellMar>
        </w:tblPrEx>
        <w:trPr>
          <w:tblHeader/>
        </w:trPr>
        <w:tc>
          <w:tcPr>
            <w:tcW w:w="2400" w:type="dxa"/>
            <w:tcBorders>
              <w:bottom w:val="single" w:sz="1" w:space="0" w:color="auto"/>
            </w:tcBorders>
            <w:shd w:val="clear" w:color="auto" w:fill="E8E8E8"/>
          </w:tcPr>
          <w:p w14:paraId="2DB55272" w14:textId="77777777" w:rsidR="00C92A42" w:rsidRDefault="00F05388">
            <w:r>
              <w:rPr>
                <w:b/>
                <w:bCs/>
                <w:sz w:val="20"/>
                <w:szCs w:val="20"/>
              </w:rPr>
              <w:t>Functional Group</w:t>
            </w:r>
          </w:p>
        </w:tc>
        <w:tc>
          <w:tcPr>
            <w:tcW w:w="1560" w:type="dxa"/>
            <w:tcBorders>
              <w:bottom w:val="single" w:sz="1" w:space="0" w:color="auto"/>
            </w:tcBorders>
            <w:shd w:val="clear" w:color="auto" w:fill="E8E8E8"/>
          </w:tcPr>
          <w:p w14:paraId="2028B91B" w14:textId="77777777" w:rsidR="00C92A42" w:rsidRDefault="00F05388">
            <w:pPr>
              <w:jc w:val="center"/>
            </w:pPr>
            <w:r>
              <w:rPr>
                <w:b/>
                <w:bCs/>
                <w:sz w:val="20"/>
                <w:szCs w:val="20"/>
              </w:rPr>
              <w:t>On Abx (%)</w:t>
            </w:r>
          </w:p>
        </w:tc>
        <w:tc>
          <w:tcPr>
            <w:tcW w:w="1560" w:type="dxa"/>
            <w:tcBorders>
              <w:bottom w:val="single" w:sz="1" w:space="0" w:color="auto"/>
            </w:tcBorders>
            <w:shd w:val="clear" w:color="auto" w:fill="E8E8E8"/>
          </w:tcPr>
          <w:p w14:paraId="5552048B" w14:textId="77777777" w:rsidR="00C92A42" w:rsidRDefault="00F05388">
            <w:pPr>
              <w:jc w:val="center"/>
            </w:pPr>
            <w:r>
              <w:rPr>
                <w:b/>
                <w:bCs/>
                <w:sz w:val="20"/>
                <w:szCs w:val="20"/>
              </w:rPr>
              <w:t>Off Abx (%)</w:t>
            </w:r>
          </w:p>
        </w:tc>
        <w:tc>
          <w:tcPr>
            <w:tcW w:w="1560" w:type="dxa"/>
            <w:tcBorders>
              <w:bottom w:val="single" w:sz="1" w:space="0" w:color="auto"/>
            </w:tcBorders>
            <w:shd w:val="clear" w:color="auto" w:fill="E8E8E8"/>
          </w:tcPr>
          <w:p w14:paraId="46852A21" w14:textId="77777777" w:rsidR="00C92A42" w:rsidRDefault="00F05388">
            <w:pPr>
              <w:jc w:val="center"/>
            </w:pPr>
            <w:r>
              <w:rPr>
                <w:b/>
                <w:bCs/>
                <w:sz w:val="20"/>
                <w:szCs w:val="20"/>
              </w:rPr>
              <w:t>Change</w:t>
            </w:r>
          </w:p>
        </w:tc>
        <w:tc>
          <w:tcPr>
            <w:tcW w:w="1560" w:type="dxa"/>
            <w:tcBorders>
              <w:bottom w:val="single" w:sz="1" w:space="0" w:color="auto"/>
            </w:tcBorders>
            <w:shd w:val="clear" w:color="auto" w:fill="E8E8E8"/>
          </w:tcPr>
          <w:p w14:paraId="7DAE0176" w14:textId="77777777" w:rsidR="00C92A42" w:rsidRDefault="00F05388">
            <w:pPr>
              <w:jc w:val="center"/>
            </w:pPr>
            <w:r>
              <w:rPr>
                <w:b/>
                <w:bCs/>
                <w:sz w:val="20"/>
                <w:szCs w:val="20"/>
              </w:rPr>
              <w:t>Rate/day</w:t>
            </w:r>
          </w:p>
        </w:tc>
        <w:tc>
          <w:tcPr>
            <w:tcW w:w="1560" w:type="dxa"/>
            <w:tcBorders>
              <w:bottom w:val="single" w:sz="1" w:space="0" w:color="auto"/>
            </w:tcBorders>
            <w:shd w:val="clear" w:color="auto" w:fill="E8E8E8"/>
          </w:tcPr>
          <w:p w14:paraId="177B0507" w14:textId="77777777" w:rsidR="00C92A42" w:rsidRDefault="00F05388">
            <w:pPr>
              <w:jc w:val="center"/>
            </w:pPr>
            <w:r>
              <w:rPr>
                <w:b/>
                <w:bCs/>
                <w:sz w:val="20"/>
                <w:szCs w:val="20"/>
              </w:rPr>
              <w:t>P-value</w:t>
            </w:r>
          </w:p>
        </w:tc>
      </w:tr>
      <w:tr w:rsidR="00C92A42" w14:paraId="47BEFF3E" w14:textId="77777777">
        <w:tblPrEx>
          <w:tblCellMar>
            <w:top w:w="0" w:type="dxa"/>
            <w:bottom w:w="0" w:type="dxa"/>
          </w:tblCellMar>
        </w:tblPrEx>
        <w:tc>
          <w:tcPr>
            <w:tcW w:w="2400" w:type="dxa"/>
          </w:tcPr>
          <w:p w14:paraId="7AF04F27" w14:textId="77777777" w:rsidR="00C92A42" w:rsidRDefault="00F05388">
            <w:r>
              <w:rPr>
                <w:sz w:val="20"/>
                <w:szCs w:val="20"/>
              </w:rPr>
              <w:t>Obligate Anaerobes</w:t>
            </w:r>
          </w:p>
        </w:tc>
        <w:tc>
          <w:tcPr>
            <w:tcW w:w="1560" w:type="dxa"/>
          </w:tcPr>
          <w:p w14:paraId="70197EC8" w14:textId="77777777" w:rsidR="00C92A42" w:rsidRDefault="00F05388">
            <w:pPr>
              <w:jc w:val="center"/>
            </w:pPr>
            <w:r>
              <w:rPr>
                <w:sz w:val="20"/>
                <w:szCs w:val="20"/>
              </w:rPr>
              <w:t>13.4</w:t>
            </w:r>
          </w:p>
        </w:tc>
        <w:tc>
          <w:tcPr>
            <w:tcW w:w="1560" w:type="dxa"/>
          </w:tcPr>
          <w:p w14:paraId="1D21A2FD" w14:textId="77777777" w:rsidR="00C92A42" w:rsidRDefault="00F05388">
            <w:pPr>
              <w:jc w:val="center"/>
            </w:pPr>
            <w:r>
              <w:rPr>
                <w:sz w:val="20"/>
                <w:szCs w:val="20"/>
              </w:rPr>
              <w:t>14.6</w:t>
            </w:r>
          </w:p>
        </w:tc>
        <w:tc>
          <w:tcPr>
            <w:tcW w:w="1560" w:type="dxa"/>
          </w:tcPr>
          <w:p w14:paraId="2E767FC7" w14:textId="77777777" w:rsidR="00C92A42" w:rsidRDefault="00F05388">
            <w:pPr>
              <w:jc w:val="center"/>
            </w:pPr>
            <w:r>
              <w:rPr>
                <w:sz w:val="20"/>
                <w:szCs w:val="20"/>
              </w:rPr>
              <w:t>+1.3</w:t>
            </w:r>
          </w:p>
        </w:tc>
        <w:tc>
          <w:tcPr>
            <w:tcW w:w="1560" w:type="dxa"/>
          </w:tcPr>
          <w:p w14:paraId="1310D428" w14:textId="77777777" w:rsidR="00C92A42" w:rsidRDefault="00F05388">
            <w:pPr>
              <w:jc w:val="center"/>
            </w:pPr>
            <w:r>
              <w:rPr>
                <w:sz w:val="20"/>
                <w:szCs w:val="20"/>
              </w:rPr>
              <w:t>+0.001</w:t>
            </w:r>
          </w:p>
        </w:tc>
        <w:tc>
          <w:tcPr>
            <w:tcW w:w="1560" w:type="dxa"/>
          </w:tcPr>
          <w:p w14:paraId="07A7B45D" w14:textId="77777777" w:rsidR="00C92A42" w:rsidRDefault="00F05388">
            <w:pPr>
              <w:jc w:val="center"/>
            </w:pPr>
            <w:r>
              <w:rPr>
                <w:sz w:val="20"/>
                <w:szCs w:val="20"/>
              </w:rPr>
              <w:t>0.99</w:t>
            </w:r>
          </w:p>
        </w:tc>
      </w:tr>
      <w:tr w:rsidR="00C92A42" w14:paraId="2CCC2C22" w14:textId="77777777">
        <w:tblPrEx>
          <w:tblCellMar>
            <w:top w:w="0" w:type="dxa"/>
            <w:bottom w:w="0" w:type="dxa"/>
          </w:tblCellMar>
        </w:tblPrEx>
        <w:tc>
          <w:tcPr>
            <w:tcW w:w="2400" w:type="dxa"/>
          </w:tcPr>
          <w:p w14:paraId="0552D4DA" w14:textId="77777777" w:rsidR="00C92A42" w:rsidRDefault="00F05388">
            <w:r>
              <w:rPr>
                <w:b/>
                <w:bCs/>
                <w:sz w:val="20"/>
                <w:szCs w:val="20"/>
              </w:rPr>
              <w:t>Enterobacteriaceae</w:t>
            </w:r>
          </w:p>
        </w:tc>
        <w:tc>
          <w:tcPr>
            <w:tcW w:w="1560" w:type="dxa"/>
          </w:tcPr>
          <w:p w14:paraId="55BC752D" w14:textId="77777777" w:rsidR="00C92A42" w:rsidRDefault="00F05388">
            <w:pPr>
              <w:jc w:val="center"/>
            </w:pPr>
            <w:r>
              <w:rPr>
                <w:b/>
                <w:bCs/>
                <w:sz w:val="20"/>
                <w:szCs w:val="20"/>
              </w:rPr>
              <w:t>27.7</w:t>
            </w:r>
          </w:p>
        </w:tc>
        <w:tc>
          <w:tcPr>
            <w:tcW w:w="1560" w:type="dxa"/>
          </w:tcPr>
          <w:p w14:paraId="39E83237" w14:textId="77777777" w:rsidR="00C92A42" w:rsidRDefault="00F05388">
            <w:pPr>
              <w:jc w:val="center"/>
            </w:pPr>
            <w:r>
              <w:rPr>
                <w:b/>
                <w:bCs/>
                <w:sz w:val="20"/>
                <w:szCs w:val="20"/>
              </w:rPr>
              <w:t>37.5</w:t>
            </w:r>
          </w:p>
        </w:tc>
        <w:tc>
          <w:tcPr>
            <w:tcW w:w="1560" w:type="dxa"/>
          </w:tcPr>
          <w:p w14:paraId="1BDB2CEB" w14:textId="77777777" w:rsidR="00C92A42" w:rsidRDefault="00F05388">
            <w:pPr>
              <w:jc w:val="center"/>
            </w:pPr>
            <w:r>
              <w:rPr>
                <w:b/>
                <w:bCs/>
                <w:sz w:val="20"/>
                <w:szCs w:val="20"/>
              </w:rPr>
              <w:t>+9.7</w:t>
            </w:r>
          </w:p>
        </w:tc>
        <w:tc>
          <w:tcPr>
            <w:tcW w:w="1560" w:type="dxa"/>
          </w:tcPr>
          <w:p w14:paraId="4256EB0B" w14:textId="77777777" w:rsidR="00C92A42" w:rsidRDefault="00F05388">
            <w:pPr>
              <w:jc w:val="center"/>
            </w:pPr>
            <w:r>
              <w:rPr>
                <w:b/>
                <w:bCs/>
                <w:sz w:val="20"/>
                <w:szCs w:val="20"/>
              </w:rPr>
              <w:t>+1.45</w:t>
            </w:r>
          </w:p>
        </w:tc>
        <w:tc>
          <w:tcPr>
            <w:tcW w:w="1560" w:type="dxa"/>
          </w:tcPr>
          <w:p w14:paraId="1B83DD44" w14:textId="77777777" w:rsidR="00C92A42" w:rsidRDefault="00F05388">
            <w:pPr>
              <w:jc w:val="center"/>
            </w:pPr>
            <w:r>
              <w:rPr>
                <w:b/>
                <w:bCs/>
                <w:sz w:val="20"/>
                <w:szCs w:val="20"/>
              </w:rPr>
              <w:t>0.036</w:t>
            </w:r>
          </w:p>
        </w:tc>
      </w:tr>
      <w:tr w:rsidR="00C92A42" w14:paraId="510C0925" w14:textId="77777777">
        <w:tblPrEx>
          <w:tblCellMar>
            <w:top w:w="0" w:type="dxa"/>
            <w:bottom w:w="0" w:type="dxa"/>
          </w:tblCellMar>
        </w:tblPrEx>
        <w:tc>
          <w:tcPr>
            <w:tcW w:w="2400" w:type="dxa"/>
            <w:tcBorders>
              <w:bottom w:val="single" w:sz="1" w:space="0" w:color="auto"/>
            </w:tcBorders>
          </w:tcPr>
          <w:p w14:paraId="2FC5D132" w14:textId="77777777" w:rsidR="00C92A42" w:rsidRDefault="00F05388">
            <w:r>
              <w:rPr>
                <w:sz w:val="20"/>
                <w:szCs w:val="20"/>
              </w:rPr>
              <w:t>Enterococcus</w:t>
            </w:r>
          </w:p>
        </w:tc>
        <w:tc>
          <w:tcPr>
            <w:tcW w:w="1560" w:type="dxa"/>
            <w:tcBorders>
              <w:bottom w:val="single" w:sz="1" w:space="0" w:color="auto"/>
            </w:tcBorders>
          </w:tcPr>
          <w:p w14:paraId="52F73185" w14:textId="77777777" w:rsidR="00C92A42" w:rsidRDefault="00F05388">
            <w:pPr>
              <w:jc w:val="center"/>
            </w:pPr>
            <w:r>
              <w:rPr>
                <w:sz w:val="20"/>
                <w:szCs w:val="20"/>
              </w:rPr>
              <w:t>18.1</w:t>
            </w:r>
          </w:p>
        </w:tc>
        <w:tc>
          <w:tcPr>
            <w:tcW w:w="1560" w:type="dxa"/>
            <w:tcBorders>
              <w:bottom w:val="single" w:sz="1" w:space="0" w:color="auto"/>
            </w:tcBorders>
          </w:tcPr>
          <w:p w14:paraId="7033AAA8" w14:textId="77777777" w:rsidR="00C92A42" w:rsidRDefault="00F05388">
            <w:pPr>
              <w:jc w:val="center"/>
            </w:pPr>
            <w:r>
              <w:rPr>
                <w:sz w:val="20"/>
                <w:szCs w:val="20"/>
              </w:rPr>
              <w:t>10.2</w:t>
            </w:r>
          </w:p>
        </w:tc>
        <w:tc>
          <w:tcPr>
            <w:tcW w:w="1560" w:type="dxa"/>
            <w:tcBorders>
              <w:bottom w:val="single" w:sz="1" w:space="0" w:color="auto"/>
            </w:tcBorders>
          </w:tcPr>
          <w:p w14:paraId="0926EC17" w14:textId="77777777" w:rsidR="00C92A42" w:rsidRDefault="00F05388">
            <w:pPr>
              <w:jc w:val="center"/>
            </w:pPr>
            <w:r>
              <w:rPr>
                <w:sz w:val="20"/>
                <w:szCs w:val="20"/>
              </w:rPr>
              <w:t>-7.9</w:t>
            </w:r>
          </w:p>
        </w:tc>
        <w:tc>
          <w:tcPr>
            <w:tcW w:w="1560" w:type="dxa"/>
            <w:tcBorders>
              <w:bottom w:val="single" w:sz="1" w:space="0" w:color="auto"/>
            </w:tcBorders>
          </w:tcPr>
          <w:p w14:paraId="353BE7FA" w14:textId="77777777" w:rsidR="00C92A42" w:rsidRDefault="00F05388">
            <w:pPr>
              <w:jc w:val="center"/>
            </w:pPr>
            <w:r>
              <w:rPr>
                <w:sz w:val="20"/>
                <w:szCs w:val="20"/>
              </w:rPr>
              <w:t>-1.09</w:t>
            </w:r>
          </w:p>
        </w:tc>
        <w:tc>
          <w:tcPr>
            <w:tcW w:w="1560" w:type="dxa"/>
            <w:tcBorders>
              <w:bottom w:val="single" w:sz="1" w:space="0" w:color="auto"/>
            </w:tcBorders>
          </w:tcPr>
          <w:p w14:paraId="563F2F72" w14:textId="77777777" w:rsidR="00C92A42" w:rsidRDefault="00F05388">
            <w:pPr>
              <w:jc w:val="center"/>
            </w:pPr>
            <w:r>
              <w:rPr>
                <w:sz w:val="20"/>
                <w:szCs w:val="20"/>
              </w:rPr>
              <w:t>0.035</w:t>
            </w:r>
          </w:p>
        </w:tc>
      </w:tr>
    </w:tbl>
    <w:p w14:paraId="55C7BD63" w14:textId="77777777" w:rsidR="00C92A42" w:rsidRDefault="00C92A42">
      <w:pPr>
        <w:spacing w:after="300"/>
      </w:pPr>
    </w:p>
    <w:p w14:paraId="6AB95CD9" w14:textId="77777777" w:rsidR="00C92A42" w:rsidRDefault="00F05388">
      <w:pPr>
        <w:pStyle w:val="Heading2"/>
      </w:pPr>
      <w:r>
        <w:t>Species-Level Analysis Confirms Pathogen Dominance Patterns</w:t>
      </w:r>
    </w:p>
    <w:p w14:paraId="642BE186" w14:textId="77777777" w:rsidR="00C92A42" w:rsidRDefault="00F05388">
      <w:pPr>
        <w:spacing w:after="200"/>
      </w:pPr>
      <w:r>
        <w:t>Unbiased species-level ranking confirmed these phase-specific patterns. During antibiotic exposure, Enterococcus species had the highest effect sizes (mean rank 102 of 358 species, mean log2FC +1.08), while pathogenic Enterobacteriaceae were most depleted (mean rank 313, mean log2FC -1.10). After antibiotic cessation, the pattern reversed: pathogenic Enterobacteriaceae had the highest recovery rates (mean +0.078%/day, mean rank 666 of 2,496 species), with Klebsiella pneumoniae, Klebsiella aerogenes, and Cit</w:t>
      </w:r>
      <w:r>
        <w:t xml:space="preserve">robacter </w:t>
      </w:r>
      <w:proofErr w:type="spellStart"/>
      <w:r>
        <w:t>freundii</w:t>
      </w:r>
      <w:proofErr w:type="spellEnd"/>
      <w:r>
        <w:t xml:space="preserve"> among the top 10 fastest-recovering species. Enterococcus species clustered at the bottom of the recovery ranking (mean rank 1,506, mean -0.0017%/day).</w:t>
      </w:r>
    </w:p>
    <w:p w14:paraId="0277B2B7" w14:textId="77777777" w:rsidR="00C92A42" w:rsidRDefault="00F05388">
      <w:pPr>
        <w:spacing w:after="200"/>
      </w:pPr>
      <w:r>
        <w:t>The difference between pathogenic Enterobacteriaceae and obligate anaerobes after antibiotic cessation was statistically significant (0.078 vs 0.0016 %/day, p=0.045), representing a 49-fold difference in recovery rate. This asymmetric recovery—pathogens rebounding while protective commensals remain depleted—creates conditions favorable for gut translocation.</w:t>
      </w:r>
    </w:p>
    <w:p w14:paraId="450FD293" w14:textId="77777777" w:rsidR="00C92A42" w:rsidRDefault="00F05388">
      <w:pPr>
        <w:pStyle w:val="Heading2"/>
      </w:pPr>
      <w:r>
        <w:t>Findings Are Consistent Across Patient Populations</w:t>
      </w:r>
    </w:p>
    <w:p w14:paraId="0B0E1ECF" w14:textId="77777777" w:rsidR="00C92A42" w:rsidRDefault="00F05388">
      <w:pPr>
        <w:spacing w:after="200"/>
      </w:pPr>
      <w:r>
        <w:t>Stratified analyses confirmed that these patterns were not driven by any single patient population. The direction of Enterococcus expansion during antibiotic exposure and Enterobacteriaceae expansion after cessation was consistent across BMT, liver transplant, and other groups. ANOVA testing showed no significant heterogeneity across patient groups for any functional category (all p&gt;0.30). Leave-one-out sensitivity analysis confirmed robustness to exclusion of any single population.</w:t>
      </w:r>
    </w:p>
    <w:p w14:paraId="37C0A7AB" w14:textId="77777777" w:rsidR="00C92A42" w:rsidRDefault="00F05388">
      <w:pPr>
        <w:pStyle w:val="Heading1"/>
      </w:pPr>
      <w:r>
        <w:t>Discussion</w:t>
      </w:r>
    </w:p>
    <w:p w14:paraId="74ED14FF" w14:textId="77777777" w:rsidR="00C92A42" w:rsidRDefault="00F05388">
      <w:pPr>
        <w:spacing w:after="200"/>
      </w:pPr>
      <w:r>
        <w:t xml:space="preserve">Our findings challenge the prevailing hypothesis that antibiotic resistance selection drives post-antibiotic pathogen dominance and subsequent BSI. BSI isolates in our cohort were frequently susceptible to the antibiotics patients received, and within-patient ARG analysis showed no evidence of resistance selection. Instead, we identified phase-specific patterns of </w:t>
      </w:r>
      <w:r>
        <w:lastRenderedPageBreak/>
        <w:t>pathogen dominance—Enterococcus during antibiotic exposure, Enterobacteriaceae after cessation—that may account for observed BSI epidemiology in hospitalized patients. These findings have important implications for understanding, predicting, and preventing healthcare-associated infections.</w:t>
      </w:r>
    </w:p>
    <w:p w14:paraId="464B7E96" w14:textId="77777777" w:rsidR="00C92A42" w:rsidRDefault="00F05388">
      <w:pPr>
        <w:pStyle w:val="Heading2"/>
      </w:pPr>
      <w:r>
        <w:t>Challenging the Resistance-Selection Paradigm</w:t>
      </w:r>
    </w:p>
    <w:p w14:paraId="59441562" w14:textId="77777777" w:rsidR="00C92A42" w:rsidRDefault="00F05388">
      <w:pPr>
        <w:spacing w:after="200"/>
      </w:pPr>
      <w:r>
        <w:t xml:space="preserve">The conventional view holds that antibiotic exposure </w:t>
      </w:r>
      <w:proofErr w:type="gramStart"/>
      <w:r>
        <w:t>selects for</w:t>
      </w:r>
      <w:proofErr w:type="gramEnd"/>
      <w:r>
        <w:t xml:space="preserve"> resistant organisms that dominate the gut and cause infection. Our data directly </w:t>
      </w:r>
      <w:proofErr w:type="gramStart"/>
      <w:r>
        <w:t>contradict</w:t>
      </w:r>
      <w:proofErr w:type="gramEnd"/>
      <w:r>
        <w:t xml:space="preserve"> this hypothesis. The BSI isolates we characterized were susceptible to the antibiotics patients had received—they should have been killed if resistance were the mechanism of pathogen dominance. The within-patient ARG analysis further supports this conclusion: of 90 ARG-antibiotic comparisons, only one showed significant change, and ARG richness, diversity, and specific resistance class abundances remained</w:t>
      </w:r>
      <w:r>
        <w:t xml:space="preserve"> unchanged after antibiotic exposure.</w:t>
      </w:r>
    </w:p>
    <w:p w14:paraId="23F54917" w14:textId="77777777" w:rsidR="00C92A42" w:rsidRDefault="00F05388">
      <w:pPr>
        <w:spacing w:after="200"/>
      </w:pPr>
      <w:r>
        <w:t>This does not mean that antibiotic resistance is clinically unimportant—multidrug-resistant organisms clearly pose challenges when they cause infection. Rather, our data suggest that resistance selection may not be the primary mechanism linking short-term antibiotic exposure to subsequent BSI in hospitalized patients. The pathway from antibiotic exposure to infection may run through microbiome disruption and pathogen dominance more often than through resistance selection.</w:t>
      </w:r>
    </w:p>
    <w:p w14:paraId="1401ADD5" w14:textId="77777777" w:rsidR="00C92A42" w:rsidRDefault="00F05388">
      <w:pPr>
        <w:pStyle w:val="Heading2"/>
      </w:pPr>
      <w:r>
        <w:t>Microbiome Dynamics May Explain BSI Epidemiology</w:t>
      </w:r>
    </w:p>
    <w:p w14:paraId="1F7679E1" w14:textId="77777777" w:rsidR="00C92A42" w:rsidRDefault="00F05388">
      <w:pPr>
        <w:spacing w:after="200"/>
      </w:pPr>
      <w:r>
        <w:t xml:space="preserve">The two-phase </w:t>
      </w:r>
      <w:proofErr w:type="gramStart"/>
      <w:r>
        <w:t>pattern</w:t>
      </w:r>
      <w:proofErr w:type="gramEnd"/>
      <w:r>
        <w:t xml:space="preserve"> we observed </w:t>
      </w:r>
      <w:proofErr w:type="gramStart"/>
      <w:r>
        <w:t>has</w:t>
      </w:r>
      <w:proofErr w:type="gramEnd"/>
      <w:r>
        <w:t xml:space="preserve"> direct parallels in clinical BSI epidemiology that have long been recognized but incompletely explained. Enterococcus (including VRE) is a well-recognized cause of bacteremia during broad-spectrum antibiotic therapy, particularly in neutropenic and transplant patients. Our finding that Enterococcus significantly expands during antibiotic exposure (+5.5%, p=0.018) provides a microbiome-level explanation for this clinical pattern: Enterococcus gut dominance creates a larger reservoir f</w:t>
      </w:r>
      <w:r>
        <w:t>or translocation during therapy. The intrinsic resistance of Enterococcus to cephalosporins, carbapenems, and aminoglycosides allows it to fill niches vacated by susceptible organisms.</w:t>
      </w:r>
    </w:p>
    <w:p w14:paraId="1F2E7ABE" w14:textId="77777777" w:rsidR="00C92A42" w:rsidRDefault="00F05388">
      <w:pPr>
        <w:spacing w:after="200"/>
      </w:pPr>
      <w:r>
        <w:t>Less clinically recognized is the distinct pattern of Enterobacteriaceae BSI in the post-antibiotic period. Clinicians are accustomed to worrying about infection during antibiotic therapy, when patients are obviously ill and receiving treatment. Our data show that a second window of vulnerability emerges after antibiotics are stopped: Enterobacteriaceae rebound significantly (+9.7%, p=0.036) while protective anaerobes remain depleted. This suggests that patients may appear to be improving clinically—antibio</w:t>
      </w:r>
      <w:r>
        <w:t>tics have been completed, fever may have resolved—yet remain at elevated risk for Gram-negative bacteremia from their now-Enterobacteriaceae-dominated gut.</w:t>
      </w:r>
    </w:p>
    <w:p w14:paraId="552781DF" w14:textId="77777777" w:rsidR="00C92A42" w:rsidRDefault="00F05388">
      <w:pPr>
        <w:spacing w:after="200"/>
      </w:pPr>
      <w:r>
        <w:t xml:space="preserve">If confirmed in larger epidemiological studies, these phase-specific patterns could explain why BSI organism distribution varies with timing relative to antibiotic exposure. The same patient may be at risk for Enterococcus BSI during day 3 of antibiotic therapy, then at risk for E. coli or Klebsiella BSI on day 10 after antibiotics have been stopped. This dynamic view of </w:t>
      </w:r>
      <w:r>
        <w:lastRenderedPageBreak/>
        <w:t>BSI risk contrasts with static risk factors and suggests that timing of antibiotic exposure should be considered in BSI surveillance and empiric therapy selection.</w:t>
      </w:r>
    </w:p>
    <w:p w14:paraId="67AE205A" w14:textId="77777777" w:rsidR="00C92A42" w:rsidRDefault="00F05388">
      <w:pPr>
        <w:pStyle w:val="Heading2"/>
      </w:pPr>
      <w:r>
        <w:t>Implications for Empiric Antimicrobial Selection</w:t>
      </w:r>
    </w:p>
    <w:p w14:paraId="1E1BFC75" w14:textId="77777777" w:rsidR="00C92A42" w:rsidRDefault="00F05388">
      <w:pPr>
        <w:spacing w:after="200"/>
      </w:pPr>
      <w:r>
        <w:t xml:space="preserve">These findings suggest that optimal empiric antimicrobial coverage may depend on timing relative to antibiotic exposure, a factor not systematically considered in current guidelines. Patients developing </w:t>
      </w:r>
      <w:proofErr w:type="gramStart"/>
      <w:r>
        <w:t>fever</w:t>
      </w:r>
      <w:proofErr w:type="gramEnd"/>
      <w:r>
        <w:t xml:space="preserve"> during active antibiotic therapy should receive coverage for Enterococcus, including VRE in institutions with significant VRE prevalence. This is consistent with current practice in many centers, though our data </w:t>
      </w:r>
      <w:proofErr w:type="gramStart"/>
      <w:r>
        <w:t>provide</w:t>
      </w:r>
      <w:proofErr w:type="gramEnd"/>
      <w:r>
        <w:t xml:space="preserve"> microbiome-based rationale for this approach.</w:t>
      </w:r>
    </w:p>
    <w:p w14:paraId="32B0CD3A" w14:textId="77777777" w:rsidR="00C92A42" w:rsidRDefault="00F05388">
      <w:pPr>
        <w:spacing w:after="200"/>
      </w:pPr>
      <w:r>
        <w:t xml:space="preserve">More novel is the implication for patients developing fever in the post-antibiotic window. Our data </w:t>
      </w:r>
      <w:proofErr w:type="gramStart"/>
      <w:r>
        <w:t>suggest</w:t>
      </w:r>
      <w:proofErr w:type="gramEnd"/>
      <w:r>
        <w:t xml:space="preserve"> these patients may be at heightened risk for Enterobacteriaceae BSI and should receive appropriate Gram-negative coverage. The post-antibiotic window—perhaps days 1-14 after antibiotic cessation—represents a period when clinicians should maintain high suspicion for Gram-negative bacteremia even in patients who appeared to be recovering.</w:t>
      </w:r>
    </w:p>
    <w:p w14:paraId="43BDF0CD" w14:textId="77777777" w:rsidR="00C92A42" w:rsidRDefault="00F05388">
      <w:pPr>
        <w:spacing w:after="200"/>
      </w:pPr>
      <w:r>
        <w:t xml:space="preserve">Importantly, our finding that BSI isolates were susceptible to prior antibiotics suggests that recurrent exposure to the same antibiotic class may be appropriate in some circumstances. Consider a patient who received meropenem for febrile neutropenia, improved, completed therapy, then </w:t>
      </w:r>
      <w:proofErr w:type="gramStart"/>
      <w:r>
        <w:t>develops</w:t>
      </w:r>
      <w:proofErr w:type="gramEnd"/>
      <w:r>
        <w:t xml:space="preserve"> new fever 7 days later. Under the resistance-selection model, one might avoid meropenem assuming surviving organisms are likely resistant. Our data </w:t>
      </w:r>
      <w:proofErr w:type="gramStart"/>
      <w:r>
        <w:t>suggest</w:t>
      </w:r>
      <w:proofErr w:type="gramEnd"/>
      <w:r>
        <w:t xml:space="preserve"> the opposite: the Enterobacteriaceae now dominating the gut are likely susceptible to meropenem, having rebounded after meropenem was stopped. Empiric re-use of meropenem may be entirely appropriate in this scenario.</w:t>
      </w:r>
    </w:p>
    <w:p w14:paraId="68CBD44B" w14:textId="77777777" w:rsidR="00C92A42" w:rsidRDefault="00F05388">
      <w:pPr>
        <w:pStyle w:val="Heading2"/>
      </w:pPr>
      <w:r>
        <w:t>Implications for Infection Surveillance and Prevention</w:t>
      </w:r>
    </w:p>
    <w:p w14:paraId="6E9C29B2" w14:textId="77777777" w:rsidR="00C92A42" w:rsidRDefault="00F05388">
      <w:pPr>
        <w:spacing w:after="200"/>
      </w:pPr>
      <w:r>
        <w:t>Recognition of phase-specific BSI risk has implications for how we monitor patients and allocate surveillance resources. Patients completing antibiotic courses while remaining hospitalized with central lines or immunocompromise should be recognized as entering a period of elevated risk, not reduced risk. New fever in the post-antibiotic window should prompt evaluation for Enterobacteriaceae bacteremia rather than assuming the patient is stable because antibiotics are done.</w:t>
      </w:r>
    </w:p>
    <w:p w14:paraId="77F87371" w14:textId="77777777" w:rsidR="00C92A42" w:rsidRDefault="00F05388">
      <w:pPr>
        <w:spacing w:after="200"/>
      </w:pPr>
      <w:r>
        <w:t>Prevention strategies could potentially target the post-antibiotic window of vulnerability. Interventions that accelerate anaerobe recovery or prevent Enterobacteriaceae expansion—such as timed probiotics, fecal microbiota transplantation, or selective decontamination—might reduce BSI risk if administered during this vulnerable period. Timing may be critical: probiotic administration during active antibiotic therapy is likely futile if the administered organisms are killed by ongoing antimicrobials. Adminis</w:t>
      </w:r>
      <w:r>
        <w:t>tration in the early post-antibiotic window, when protective niches are available but not yet occupied by pathogens, may be more effective.</w:t>
      </w:r>
    </w:p>
    <w:p w14:paraId="1171B7E8" w14:textId="77777777" w:rsidR="00C92A42" w:rsidRDefault="00F05388">
      <w:pPr>
        <w:spacing w:after="200"/>
      </w:pPr>
      <w:r>
        <w:t xml:space="preserve">The observation that susceptible organisms dominate the post-antibiotic gut suggests that microbiome-focused interventions could be effective without requiring resistance-targeted </w:t>
      </w:r>
      <w:r>
        <w:lastRenderedPageBreak/>
        <w:t>approaches. This is encouraging because it opens prevention strategies that do not depend on knowing or targeting specific resistance mechanisms.</w:t>
      </w:r>
    </w:p>
    <w:p w14:paraId="52A8EA84" w14:textId="77777777" w:rsidR="00C92A42" w:rsidRDefault="00F05388">
      <w:pPr>
        <w:pStyle w:val="Heading2"/>
      </w:pPr>
      <w:r>
        <w:t>Implications for Antimicrobial Stewardship</w:t>
      </w:r>
    </w:p>
    <w:p w14:paraId="35399C60" w14:textId="77777777" w:rsidR="00C92A42" w:rsidRDefault="00F05388">
      <w:pPr>
        <w:spacing w:after="200"/>
      </w:pPr>
      <w:r>
        <w:t>Antimicrobial stewardship programs have historically emphasized resistance prevention as a primary justification for limiting antibiotic use. Our data suggest that the immediate risk of antibiotic exposure may be microbiome disruption and subsequent infection, rather than resistance selection per se. This provides additional rationale for stewardship interventions focused on shorter durations and prompt de-escalation—both reduce microbiome disruption regardless of resistance impact.</w:t>
      </w:r>
    </w:p>
    <w:p w14:paraId="7E30E138" w14:textId="77777777" w:rsidR="00C92A42" w:rsidRDefault="00F05388">
      <w:pPr>
        <w:spacing w:after="200"/>
      </w:pPr>
      <w:r>
        <w:t>Our finding that cross-sectional ARG associations reflect confounding rather than causal selection has implications for how stewardship programs interpret surveillance data. Population-level correlations between antibiotic use and ARG carriage may overestimate the resistance impact of short-term antibiotic exposure. Within-patient longitudinal studies may be necessary to accurately assess whether specific antibiotics or stewardship interventions affect individual-level resistance.</w:t>
      </w:r>
    </w:p>
    <w:p w14:paraId="343D1316" w14:textId="77777777" w:rsidR="00C92A42" w:rsidRDefault="00F05388">
      <w:pPr>
        <w:spacing w:after="200"/>
      </w:pPr>
      <w:r>
        <w:t>This reframing does not diminish the importance of stewardship—it provides complementary rationale. Under the resistance-selection model, the goal is to limit emergence of resistant organisms. Under the colonization-resistance model we propose, the goal is to preserve the protective microbiome. Both models support judicious antibiotic use; they differ in the primary mechanism of benefit.</w:t>
      </w:r>
    </w:p>
    <w:p w14:paraId="261202A5" w14:textId="77777777" w:rsidR="00C92A42" w:rsidRDefault="00F05388">
      <w:pPr>
        <w:pStyle w:val="Heading2"/>
      </w:pPr>
      <w:r>
        <w:t xml:space="preserve">Relationship </w:t>
      </w:r>
      <w:proofErr w:type="gramStart"/>
      <w:r>
        <w:t>to</w:t>
      </w:r>
      <w:proofErr w:type="gramEnd"/>
      <w:r>
        <w:t xml:space="preserve"> the Gut-Infection Paradigm</w:t>
      </w:r>
    </w:p>
    <w:p w14:paraId="1BFC2AA4" w14:textId="77777777" w:rsidR="00C92A42" w:rsidRDefault="00F05388">
      <w:pPr>
        <w:spacing w:after="200"/>
      </w:pPr>
      <w:r>
        <w:t>Our findings add to the growing body of evidence implicating the gut microbiome as the source of invasive infections in hospitalized patients. Prior studies using strain-level genomic analysis have demonstrated that BSI organisms are frequently present in the patient's gut before infection. Our contribution is to characterize the microbiome dynamics that determine which gut organisms achieve dominance and translocation potential under different clinical conditions.</w:t>
      </w:r>
    </w:p>
    <w:p w14:paraId="33FC9FFC" w14:textId="77777777" w:rsidR="00C92A42" w:rsidRDefault="00F05388">
      <w:pPr>
        <w:spacing w:after="200"/>
      </w:pPr>
      <w:r>
        <w:t xml:space="preserve">The phase-specific patterns we observed suggest that the same patient may be at risk for different organisms depending on their position in the antibiotic exposure cycle. This dynamic view of BSI risk contrasts with static risk factors such as catheter presence or </w:t>
      </w:r>
      <w:proofErr w:type="gramStart"/>
      <w:r>
        <w:t>neutropenia, and</w:t>
      </w:r>
      <w:proofErr w:type="gramEnd"/>
      <w:r>
        <w:t xml:space="preserve"> suggests that repeated assessment of microbiome state—or at minimum, consideration of antibiotic timing—could improve risk prediction and prevention. A patient's BSI risk profile changes as they move from active antibiotic exposure to the post-antibiotic window.</w:t>
      </w:r>
    </w:p>
    <w:p w14:paraId="7D92482E" w14:textId="77777777" w:rsidR="00C92A42" w:rsidRDefault="00F05388">
      <w:pPr>
        <w:pStyle w:val="Heading2"/>
      </w:pPr>
      <w:r>
        <w:t>Future Directions</w:t>
      </w:r>
    </w:p>
    <w:p w14:paraId="6FE81168" w14:textId="77777777" w:rsidR="00C92A42" w:rsidRDefault="00F05388">
      <w:pPr>
        <w:spacing w:after="200"/>
      </w:pPr>
      <w:r>
        <w:t xml:space="preserve">Several questions remain for future investigation. First, large-scale epidemiological studies should test whether BSI organism identity systematically varies with timing since antibiotic </w:t>
      </w:r>
      <w:r>
        <w:lastRenderedPageBreak/>
        <w:t>cessation across diverse patient populations. Our companion study examining 13 years of BSI events at our institution is designed to address this question.</w:t>
      </w:r>
    </w:p>
    <w:p w14:paraId="34F0B6FF" w14:textId="77777777" w:rsidR="00C92A42" w:rsidRDefault="00F05388">
      <w:pPr>
        <w:spacing w:after="200"/>
      </w:pPr>
      <w:r>
        <w:t>Second, the biological mechanisms underlying differential pathogen expansion deserve further study. Enterobacteriaceae may rebound faster due to shorter doubling times, facultative anaerobe physiology allowing survival during gut perturbation, metabolic flexibility, or environmental reservoirs in the hospital setting. Understanding these mechanisms could identify additional intervention targets.</w:t>
      </w:r>
    </w:p>
    <w:p w14:paraId="11A923FD" w14:textId="77777777" w:rsidR="00C92A42" w:rsidRDefault="00F05388">
      <w:pPr>
        <w:spacing w:after="200"/>
      </w:pPr>
      <w:r>
        <w:t>Third, clinical trials should test whether interventions timed to the post-antibiotic window can reduce BSI rates. Candidate interventions include probiotics, fecal microbiota transplantation, selective decontamination, and enhanced surveillance protocols.</w:t>
      </w:r>
    </w:p>
    <w:p w14:paraId="20D6621A" w14:textId="77777777" w:rsidR="00C92A42" w:rsidRDefault="00F05388">
      <w:pPr>
        <w:pStyle w:val="Heading2"/>
      </w:pPr>
      <w:r>
        <w:t>Limitations</w:t>
      </w:r>
    </w:p>
    <w:p w14:paraId="5B7E33F8" w14:textId="77777777" w:rsidR="00C92A42" w:rsidRDefault="00F05388">
      <w:pPr>
        <w:spacing w:after="200"/>
      </w:pPr>
      <w:r>
        <w:t xml:space="preserve">Several limitations warrant consideration. Our cohort comprised hospitalized children at high risk for infection due to immunosuppression, central venous catheters, and gut barrier dysfunction; findings may not </w:t>
      </w:r>
      <w:proofErr w:type="gramStart"/>
      <w:r>
        <w:t>generalize to</w:t>
      </w:r>
      <w:proofErr w:type="gramEnd"/>
      <w:r>
        <w:t xml:space="preserve"> immunocompetent patients or those with intact mucosal barriers. However, this population is precisely where BSI has the greatest clinical impact and where prevention strategies are most urgently needed. The mechanisms we describe—competitive dynamics between Enterococcus, Enterobacteriaceae, and anaerobes during and after antibiotic exposure—reflect fundamental microbial biology that should operate across patient populations, even if clinical consequences differ.</w:t>
      </w:r>
    </w:p>
    <w:p w14:paraId="139C9799" w14:textId="77777777" w:rsidR="00C92A42" w:rsidRDefault="00F05388">
      <w:pPr>
        <w:spacing w:after="200"/>
      </w:pPr>
      <w:r>
        <w:t>Our BSI case series (n=4) is illustrative rather than comprehensive. These cases demonstrate the paradox of susceptible BSI isolates and motivate investigation of alternative mechanisms, but do not quantify how common this phenomenon is. A companion study examining thousands of BSI events over 13 years at our institution is designed to test whether BSI organism identity systematically varies with timing since antibiotic cessation and to estimate the proportion of BSI caused by antibiotic-susceptible organis</w:t>
      </w:r>
      <w:r>
        <w:t>ms.</w:t>
      </w:r>
    </w:p>
    <w:p w14:paraId="79708EA3" w14:textId="77777777" w:rsidR="00C92A42" w:rsidRDefault="00F05388">
      <w:pPr>
        <w:spacing w:after="200"/>
      </w:pPr>
      <w:r>
        <w:t>Samples were collected across multiple studies with variable timing rather than standardized intervals. This pragmatic approach captures the natural range of clinical scenarios but introduces heterogeneity. The paired analytical design, in which each patient serves as their own control, mitigates between-patient confounding including differences in baseline microbiome, underlying diagnosis, and immune status. Consistency across heterogeneous populations and sampling protocols strengthens confidence in gener</w:t>
      </w:r>
      <w:r>
        <w:t>alizability.</w:t>
      </w:r>
    </w:p>
    <w:p w14:paraId="6E1CFD0C" w14:textId="77777777" w:rsidR="00C92A42" w:rsidRDefault="00F05388">
      <w:pPr>
        <w:spacing w:after="200"/>
      </w:pPr>
      <w:r>
        <w:t>Finally, metagenomic profiling provides relative abundances and cannot definitively distinguish absolute changes in pathogen load from proportional changes in a depleted community. If total bacterial biomass decreases substantially, apparent increases in Enterobacteriaceae relative abundance might not reflect true expansion. However, the BSI data—showing actual translocation and culture-confirmed bloodstream infection with these dominant organisms—provides clinical validation that microbiome compositional c</w:t>
      </w:r>
      <w:r>
        <w:t>hanges have functional consequences for infection risk.</w:t>
      </w:r>
    </w:p>
    <w:p w14:paraId="69249CAF" w14:textId="77777777" w:rsidR="00C92A42" w:rsidRDefault="00F05388">
      <w:pPr>
        <w:pStyle w:val="Heading2"/>
      </w:pPr>
      <w:r>
        <w:lastRenderedPageBreak/>
        <w:t>Conclusions</w:t>
      </w:r>
    </w:p>
    <w:p w14:paraId="3C9BD1FF" w14:textId="77777777" w:rsidR="00C92A42" w:rsidRDefault="00F05388">
      <w:pPr>
        <w:spacing w:after="200"/>
      </w:pPr>
      <w:r>
        <w:t>Antibiotic exposure creates sequential phases of gut pathogen dominance—Enterococcus during therapy, Enterobacteriaceae after cessation—that may account for BSI epidemiology in hospitalized patients. These dynamics are not driven by resistance selection; BSI isolates are frequently susceptible to prior antibiotics, and within-patient ARG analysis shows no evidence of resistance enrichment. The gut microbiome, increasingly recognized as the source of invasive infections, responds to antibiotic exposure in pr</w:t>
      </w:r>
      <w:r>
        <w:t>edictable ways that create phase-specific windows of vulnerability.</w:t>
      </w:r>
    </w:p>
    <w:p w14:paraId="40D3F71B" w14:textId="77777777" w:rsidR="00C92A42" w:rsidRDefault="00F05388">
      <w:pPr>
        <w:spacing w:after="200"/>
      </w:pPr>
      <w:r>
        <w:t>Understanding these phase-specific patterns has immediate clinical implications. Empiric antibiotic selection for new fever could be informed by timing relative to prior antibiotic exposure: Enterococcus coverage during active therapy, Gram-negative coverage in the post-antibiotic window. Patients completing antibiotic courses should be recognized as entering a period of Enterobacteriaceae-dominant gut flora and elevated BSI risk, not reduced risk. Infection prevention programs should consider stratifying s</w:t>
      </w:r>
      <w:r>
        <w:t>urveillance and intervention by phase of antibiotic exposure.</w:t>
      </w:r>
    </w:p>
    <w:p w14:paraId="1EBBADFD" w14:textId="77777777" w:rsidR="00C92A42" w:rsidRDefault="00F05388">
      <w:pPr>
        <w:spacing w:after="200"/>
      </w:pPr>
      <w:r>
        <w:t>More broadly, these findings suggest that the link between antibiotic exposure and infection may run through microbiome disruption rather than resistance selection, at least for short-term exposures in hospitalized patients. This reframing provides complementary rationale for antimicrobial stewardship and opens new avenues for prevention targeting the post-antibiotic window of vulnerability.</w:t>
      </w:r>
    </w:p>
    <w:p w14:paraId="210E7AF5" w14:textId="77777777" w:rsidR="00C92A42" w:rsidRDefault="00F05388">
      <w:r>
        <w:br w:type="page"/>
      </w:r>
    </w:p>
    <w:p w14:paraId="438FDDBF" w14:textId="77777777" w:rsidR="00C92A42" w:rsidRDefault="00F05388">
      <w:pPr>
        <w:pStyle w:val="Heading1"/>
      </w:pPr>
      <w:r>
        <w:lastRenderedPageBreak/>
        <w:t>References</w:t>
      </w:r>
    </w:p>
    <w:p w14:paraId="013AD2F0" w14:textId="77777777" w:rsidR="00C92A42" w:rsidRDefault="00F05388">
      <w:pPr>
        <w:spacing w:after="200"/>
      </w:pPr>
      <w:r>
        <w:t>[References to be added during submission preparation]</w:t>
      </w:r>
    </w:p>
    <w:p w14:paraId="48BAFFE7" w14:textId="77777777" w:rsidR="00C92A42" w:rsidRDefault="00F05388">
      <w:r>
        <w:br w:type="page"/>
      </w:r>
    </w:p>
    <w:p w14:paraId="48F81C08" w14:textId="77777777" w:rsidR="00C92A42" w:rsidRDefault="00F05388">
      <w:pPr>
        <w:pStyle w:val="Heading1"/>
      </w:pPr>
      <w:r>
        <w:lastRenderedPageBreak/>
        <w:t>Figure Legends</w:t>
      </w:r>
    </w:p>
    <w:p w14:paraId="71583F69" w14:textId="77777777" w:rsidR="00C92A42" w:rsidRDefault="00F05388">
      <w:pPr>
        <w:spacing w:before="200" w:after="100"/>
      </w:pPr>
      <w:r>
        <w:rPr>
          <w:b/>
          <w:bCs/>
        </w:rPr>
        <w:t>Figure 1. BSI Isolates Are Susceptible to Prior Antibiotics, Challenging the Resistance-Selection Hypothesis.</w:t>
      </w:r>
    </w:p>
    <w:p w14:paraId="61859D8C" w14:textId="77777777" w:rsidR="00C92A42" w:rsidRDefault="00F05388">
      <w:pPr>
        <w:spacing w:after="200"/>
      </w:pPr>
      <w:r>
        <w:t xml:space="preserve">(A) Study design schematic showing the gut-to-blood translocation pathway and the conventional resistance-selection hypothesis. The prevailing view holds that antibiotic exposure selects for resistant organisms that then dominate the gut and cause BSI. (B) Four illustrative cases </w:t>
      </w:r>
      <w:proofErr w:type="gramStart"/>
      <w:r>
        <w:t>demonstrating</w:t>
      </w:r>
      <w:proofErr w:type="gramEnd"/>
      <w:r>
        <w:t xml:space="preserve"> that BSI isolates are genomically identical to preceding fecal strains (ANI &gt;99.9%, &lt;10 SNPs) yet susceptible to antibiotics patients had received. Patient timelines show antibiotic exposure (bars), fecal sample collection (circles), and BSI events (stars). Tables display MIC values confirming susceptibility. (C) Summary statistics showing the proportion of BSI isolates susceptible to prior antibiotics, directly contradicting the resistance-selection hypothesis.</w:t>
      </w:r>
    </w:p>
    <w:p w14:paraId="5DF9EE2E" w14:textId="77777777" w:rsidR="00C92A42" w:rsidRDefault="00F05388">
      <w:pPr>
        <w:spacing w:before="200" w:after="100"/>
      </w:pPr>
      <w:r>
        <w:rPr>
          <w:b/>
          <w:bCs/>
        </w:rPr>
        <w:t>Figure 2. Phase 1: Enterococcus Dominates During Antibiotic Exposure.</w:t>
      </w:r>
    </w:p>
    <w:p w14:paraId="5833513F" w14:textId="77777777" w:rsidR="00C92A42" w:rsidRDefault="00F05388">
      <w:pPr>
        <w:spacing w:after="200"/>
      </w:pPr>
      <w:r>
        <w:t>(A) Paired analysis of functional group abundance before versus during antibiotic exposure (n=206 pairs). Enterococcus increases significantly (+5.5%, p=0.018); Enterobacteriaceae and anaerobes remain stable or decline. (B) Species-level ranking by effect size during antibiotic exposure. Enterococcus species cluster at the top (increase during antibiotics); Enterobacteriaceae cluster at the bottom (decrease during antibiotics). (C) Clinical interpretation: Enterococcus gut dominance during antibiotic therap</w:t>
      </w:r>
      <w:r>
        <w:t>y may account for the high incidence of Enterococcus (including VRE) BSI in patients receiving broad-spectrum antibiotics.</w:t>
      </w:r>
    </w:p>
    <w:p w14:paraId="43C0C55D" w14:textId="77777777" w:rsidR="00C92A42" w:rsidRDefault="00F05388">
      <w:pPr>
        <w:spacing w:before="200" w:after="100"/>
      </w:pPr>
      <w:r>
        <w:rPr>
          <w:b/>
          <w:bCs/>
        </w:rPr>
        <w:t>Figure 3. Phase 2: Enterobacteriaceae Dominate After Antibiotic Cessation.</w:t>
      </w:r>
    </w:p>
    <w:p w14:paraId="556054B4" w14:textId="77777777" w:rsidR="00C92A42" w:rsidRDefault="00F05388">
      <w:pPr>
        <w:spacing w:after="200"/>
      </w:pPr>
      <w:r>
        <w:t xml:space="preserve">(A) Paired analysis of functional group abundance during versus after antibiotic exposure (n=46-58 pairs). Enterobacteriaceae increase significantly (+9.7%, p=0.036); anaerobes fail to recover; Enterococcus declines. (B) Species-level ranking by recovery rate. Pathogenic Enterobacteriaceae (K. pneumoniae, K. aerogenes, C. </w:t>
      </w:r>
      <w:proofErr w:type="spellStart"/>
      <w:r>
        <w:t>freundii</w:t>
      </w:r>
      <w:proofErr w:type="spellEnd"/>
      <w:r>
        <w:t>) cluster at the top. (C) Comparison showing pathogenic Enterobacteriaceae recover 49-fold faster than obligate anaerobes (p=0.045). (D) Clinical interpretation: Enterobacteriaceae gut dominance in the post-antibiotic window may account for Gram-negative BSI in patients who have recently completed antibiotic courses.</w:t>
      </w:r>
    </w:p>
    <w:p w14:paraId="6B9E6803" w14:textId="77777777" w:rsidR="00C92A42" w:rsidRDefault="00F05388">
      <w:pPr>
        <w:spacing w:before="200" w:after="100"/>
      </w:pPr>
      <w:r>
        <w:rPr>
          <w:b/>
          <w:bCs/>
        </w:rPr>
        <w:t>Figure 4. Two-Phase Model of Antibiotic-Associated BSI Epidemiology.</w:t>
      </w:r>
    </w:p>
    <w:p w14:paraId="37092723" w14:textId="77777777" w:rsidR="00C92A42" w:rsidRDefault="00F05388">
      <w:pPr>
        <w:spacing w:after="200"/>
      </w:pPr>
      <w:r>
        <w:t>(A) Summary model showing sequential phases of pathogen dominance: Enterococcus during antibiotic exposure (Phase 1), Enterobacteriaceae after antibiotic cessation (Phase 2). (B) Predicted BSI organism identity as a function of timing relative to antibiotic exposure. During antibiotics: Enterococcus (including VRE) predominates. Post-antibiotic window (days 1-14): Enterobacteriaceae predominate. (C) Clinical implications for empiric antimicrobial selection and infection surveillance based on phase of antibi</w:t>
      </w:r>
      <w:r>
        <w:t>otic exposure.</w:t>
      </w:r>
    </w:p>
    <w:p w14:paraId="752F40DB" w14:textId="77777777" w:rsidR="00C92A42" w:rsidRDefault="00F05388">
      <w:pPr>
        <w:spacing w:before="200" w:after="100"/>
      </w:pPr>
      <w:r>
        <w:rPr>
          <w:b/>
          <w:bCs/>
        </w:rPr>
        <w:t>Figure 5. No Within-Patient Antibiotic Resistance Gene Selection.</w:t>
      </w:r>
    </w:p>
    <w:p w14:paraId="30D7F4EA" w14:textId="77777777" w:rsidR="00C92A42" w:rsidRDefault="00F05388">
      <w:pPr>
        <w:spacing w:after="200"/>
      </w:pPr>
      <w:r>
        <w:lastRenderedPageBreak/>
        <w:t xml:space="preserve">(A) Cross-sectional ARG associations with antibiotic exposure (213 robust associations), suggesting population-level correlation between antibiotic use and ARG carriage. (B) Paired within-patient ARG analysis (n=90 comparisons). Forest plot shows effect sizes and 95% confidence </w:t>
      </w:r>
      <w:proofErr w:type="gramStart"/>
      <w:r>
        <w:t>intervals;</w:t>
      </w:r>
      <w:proofErr w:type="gramEnd"/>
      <w:r>
        <w:t xml:space="preserve"> only 1/90 comparisons significant. The absence of within-patient ARG selection indicates that cross-sectional associations reflect confounding rather than causal resistance selection. (C) Interpretation: ARGs are markers of antibiotic-exposed patients, not mediators of post-antibiotic pathogen dominance. Combined with BSI </w:t>
      </w:r>
      <w:proofErr w:type="gramStart"/>
      <w:r>
        <w:t>isolate</w:t>
      </w:r>
      <w:proofErr w:type="gramEnd"/>
      <w:r>
        <w:t xml:space="preserve"> susceptibility data, these findings rule out resistance selection as the mechanism linking antibiotic exposure to BSI.</w:t>
      </w:r>
    </w:p>
    <w:p w14:paraId="67DB8973" w14:textId="77777777" w:rsidR="00C92A42" w:rsidRDefault="00F05388">
      <w:r>
        <w:br w:type="page"/>
      </w:r>
    </w:p>
    <w:p w14:paraId="6C34F5D0" w14:textId="77777777" w:rsidR="00C92A42" w:rsidRDefault="00F05388">
      <w:pPr>
        <w:pStyle w:val="Heading1"/>
      </w:pPr>
      <w:r>
        <w:lastRenderedPageBreak/>
        <w:t>Supplementary Materials</w:t>
      </w:r>
    </w:p>
    <w:p w14:paraId="46C72220" w14:textId="77777777" w:rsidR="00C92A42" w:rsidRDefault="00F05388">
      <w:pPr>
        <w:spacing w:after="200"/>
      </w:pPr>
      <w:r>
        <w:rPr>
          <w:b/>
          <w:bCs/>
        </w:rPr>
        <w:t xml:space="preserve">Table S1. </w:t>
      </w:r>
      <w:r>
        <w:t>Patient demographics and clinical characteristics by study population.</w:t>
      </w:r>
    </w:p>
    <w:p w14:paraId="6074FF50" w14:textId="77777777" w:rsidR="00C92A42" w:rsidRDefault="00F05388">
      <w:pPr>
        <w:spacing w:after="200"/>
      </w:pPr>
      <w:r>
        <w:rPr>
          <w:b/>
          <w:bCs/>
        </w:rPr>
        <w:t xml:space="preserve">Table S2. </w:t>
      </w:r>
      <w:r>
        <w:t>Complete differential abundance results (577 robust species-antibiotic associations).</w:t>
      </w:r>
    </w:p>
    <w:p w14:paraId="03738A2A" w14:textId="77777777" w:rsidR="00C92A42" w:rsidRDefault="00F05388">
      <w:pPr>
        <w:spacing w:after="200"/>
      </w:pPr>
      <w:r>
        <w:rPr>
          <w:b/>
          <w:bCs/>
        </w:rPr>
        <w:t xml:space="preserve">Table S3. </w:t>
      </w:r>
      <w:r>
        <w:t>ARG analysis results: cross-sectional associations and paired within-patient comparisons.</w:t>
      </w:r>
    </w:p>
    <w:p w14:paraId="02882888" w14:textId="77777777" w:rsidR="00C92A42" w:rsidRDefault="00F05388">
      <w:pPr>
        <w:spacing w:after="200"/>
      </w:pPr>
      <w:r>
        <w:rPr>
          <w:b/>
          <w:bCs/>
        </w:rPr>
        <w:t xml:space="preserve">Table S4. </w:t>
      </w:r>
      <w:r>
        <w:t>Antibiotic-specific effects on functional groups during and after exposure.</w:t>
      </w:r>
    </w:p>
    <w:p w14:paraId="3C879085" w14:textId="77777777" w:rsidR="00C92A42" w:rsidRDefault="00F05388">
      <w:pPr>
        <w:spacing w:after="200"/>
      </w:pPr>
      <w:r>
        <w:rPr>
          <w:b/>
          <w:bCs/>
        </w:rPr>
        <w:t xml:space="preserve">Table S5. </w:t>
      </w:r>
      <w:r>
        <w:t>Stratified analysis by patient group with heterogeneity testing.</w:t>
      </w:r>
    </w:p>
    <w:p w14:paraId="37C0111E" w14:textId="77777777" w:rsidR="00C92A42" w:rsidRDefault="00F05388">
      <w:pPr>
        <w:spacing w:after="200"/>
      </w:pPr>
      <w:r>
        <w:rPr>
          <w:b/>
          <w:bCs/>
        </w:rPr>
        <w:t xml:space="preserve">Figure S1. </w:t>
      </w:r>
      <w:r>
        <w:t>Individual patient trajectories showing microbiome composition over time.</w:t>
      </w:r>
    </w:p>
    <w:p w14:paraId="5E5D6B5C" w14:textId="77777777" w:rsidR="00C92A42" w:rsidRDefault="00F05388">
      <w:pPr>
        <w:spacing w:after="200"/>
      </w:pPr>
      <w:r>
        <w:rPr>
          <w:b/>
          <w:bCs/>
        </w:rPr>
        <w:t xml:space="preserve">Figure S2. </w:t>
      </w:r>
      <w:r>
        <w:t xml:space="preserve">Antibiotic-specific </w:t>
      </w:r>
      <w:proofErr w:type="gramStart"/>
      <w:r>
        <w:t>heatmap of</w:t>
      </w:r>
      <w:proofErr w:type="gramEnd"/>
      <w:r>
        <w:t xml:space="preserve"> effects on Enterococcus, Enterobacteriaceae, and anaerobes.</w:t>
      </w:r>
    </w:p>
    <w:p w14:paraId="40ECA2DB" w14:textId="77777777" w:rsidR="00C92A42" w:rsidRDefault="00F05388">
      <w:pPr>
        <w:spacing w:after="200"/>
      </w:pPr>
      <w:r>
        <w:rPr>
          <w:b/>
          <w:bCs/>
        </w:rPr>
        <w:t xml:space="preserve">Figure S3. </w:t>
      </w:r>
      <w:r>
        <w:t>E. faecalis versus E. faecium dynamics (species-level heterogeneity within Enterococcus).</w:t>
      </w:r>
    </w:p>
    <w:p w14:paraId="51307DC1" w14:textId="77777777" w:rsidR="00C92A42" w:rsidRDefault="00F05388">
      <w:pPr>
        <w:spacing w:after="200"/>
      </w:pPr>
      <w:r>
        <w:rPr>
          <w:b/>
          <w:bCs/>
        </w:rPr>
        <w:t xml:space="preserve">Methods S1. </w:t>
      </w:r>
      <w:r>
        <w:t>Detailed statistical methods.</w:t>
      </w:r>
    </w:p>
    <w:p w14:paraId="4C5538EB" w14:textId="77777777" w:rsidR="00C92A42" w:rsidRDefault="00F05388">
      <w:pPr>
        <w:spacing w:after="200"/>
      </w:pPr>
      <w:r>
        <w:rPr>
          <w:b/>
          <w:bCs/>
        </w:rPr>
        <w:t xml:space="preserve">Methods S2. </w:t>
      </w:r>
      <w:r>
        <w:t>Genomic analysis pipeline for BSI isolate comparison.</w:t>
      </w:r>
    </w:p>
    <w:sectPr w:rsidR="00C92A4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B467A" w14:textId="77777777" w:rsidR="00F05388" w:rsidRDefault="00F05388">
      <w:pPr>
        <w:spacing w:line="240" w:lineRule="auto"/>
      </w:pPr>
      <w:r>
        <w:separator/>
      </w:r>
    </w:p>
  </w:endnote>
  <w:endnote w:type="continuationSeparator" w:id="0">
    <w:p w14:paraId="5B232C88" w14:textId="77777777" w:rsidR="00F05388" w:rsidRDefault="00F053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A77F" w14:textId="77777777" w:rsidR="00C92A42" w:rsidRDefault="00F05388">
    <w:pPr>
      <w:jc w:val="center"/>
    </w:pPr>
    <w:r>
      <w:rPr>
        <w:sz w:val="20"/>
        <w:szCs w:val="20"/>
      </w:rPr>
      <w:fldChar w:fldCharType="begin"/>
    </w:r>
    <w:r>
      <w:rPr>
        <w:sz w:val="20"/>
        <w:szCs w:val="20"/>
      </w:rPr>
      <w:instrText>PAGE</w:instrText>
    </w:r>
    <w:r>
      <w:rPr>
        <w:sz w:val="20"/>
        <w:szCs w:val="20"/>
      </w:rPr>
      <w:fldChar w:fldCharType="separate"/>
    </w:r>
    <w:r w:rsidR="00AA068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15A2" w14:textId="77777777" w:rsidR="00F05388" w:rsidRDefault="00F05388">
      <w:pPr>
        <w:spacing w:line="240" w:lineRule="auto"/>
      </w:pPr>
      <w:r>
        <w:separator/>
      </w:r>
    </w:p>
  </w:footnote>
  <w:footnote w:type="continuationSeparator" w:id="0">
    <w:p w14:paraId="03C06584" w14:textId="77777777" w:rsidR="00F05388" w:rsidRDefault="00F053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CC0B" w14:textId="77777777" w:rsidR="00C92A42" w:rsidRDefault="00F05388">
    <w:pPr>
      <w:jc w:val="right"/>
    </w:pPr>
    <w:r>
      <w:rPr>
        <w:i/>
        <w:iCs/>
        <w:sz w:val="20"/>
        <w:szCs w:val="20"/>
      </w:rPr>
      <w:t>Gut Microbiome and BSI Epidemiology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D36"/>
    <w:multiLevelType w:val="hybridMultilevel"/>
    <w:tmpl w:val="B7B66BD4"/>
    <w:lvl w:ilvl="0" w:tplc="090685D6">
      <w:start w:val="1"/>
      <w:numFmt w:val="bullet"/>
      <w:lvlText w:val="●"/>
      <w:lvlJc w:val="left"/>
      <w:pPr>
        <w:ind w:left="720" w:hanging="360"/>
      </w:pPr>
    </w:lvl>
    <w:lvl w:ilvl="1" w:tplc="F22E7B6A">
      <w:start w:val="1"/>
      <w:numFmt w:val="bullet"/>
      <w:lvlText w:val="○"/>
      <w:lvlJc w:val="left"/>
      <w:pPr>
        <w:ind w:left="1440" w:hanging="360"/>
      </w:pPr>
    </w:lvl>
    <w:lvl w:ilvl="2" w:tplc="22C67D72">
      <w:start w:val="1"/>
      <w:numFmt w:val="bullet"/>
      <w:lvlText w:val="■"/>
      <w:lvlJc w:val="left"/>
      <w:pPr>
        <w:ind w:left="2160" w:hanging="360"/>
      </w:pPr>
    </w:lvl>
    <w:lvl w:ilvl="3" w:tplc="016255E0">
      <w:start w:val="1"/>
      <w:numFmt w:val="bullet"/>
      <w:lvlText w:val="●"/>
      <w:lvlJc w:val="left"/>
      <w:pPr>
        <w:ind w:left="2880" w:hanging="360"/>
      </w:pPr>
    </w:lvl>
    <w:lvl w:ilvl="4" w:tplc="C45EE182">
      <w:start w:val="1"/>
      <w:numFmt w:val="bullet"/>
      <w:lvlText w:val="○"/>
      <w:lvlJc w:val="left"/>
      <w:pPr>
        <w:ind w:left="3600" w:hanging="360"/>
      </w:pPr>
    </w:lvl>
    <w:lvl w:ilvl="5" w:tplc="EE2CCAFC">
      <w:start w:val="1"/>
      <w:numFmt w:val="bullet"/>
      <w:lvlText w:val="■"/>
      <w:lvlJc w:val="left"/>
      <w:pPr>
        <w:ind w:left="4320" w:hanging="360"/>
      </w:pPr>
    </w:lvl>
    <w:lvl w:ilvl="6" w:tplc="E31C435E">
      <w:start w:val="1"/>
      <w:numFmt w:val="bullet"/>
      <w:lvlText w:val="●"/>
      <w:lvlJc w:val="left"/>
      <w:pPr>
        <w:ind w:left="5040" w:hanging="360"/>
      </w:pPr>
    </w:lvl>
    <w:lvl w:ilvl="7" w:tplc="BC70A85C">
      <w:start w:val="1"/>
      <w:numFmt w:val="bullet"/>
      <w:lvlText w:val="●"/>
      <w:lvlJc w:val="left"/>
      <w:pPr>
        <w:ind w:left="5760" w:hanging="360"/>
      </w:pPr>
    </w:lvl>
    <w:lvl w:ilvl="8" w:tplc="72D8513E">
      <w:start w:val="1"/>
      <w:numFmt w:val="bullet"/>
      <w:lvlText w:val="●"/>
      <w:lvlJc w:val="left"/>
      <w:pPr>
        <w:ind w:left="6480" w:hanging="360"/>
      </w:pPr>
    </w:lvl>
  </w:abstractNum>
  <w:abstractNum w:abstractNumId="1" w15:restartNumberingAfterBreak="0">
    <w:nsid w:val="523866BF"/>
    <w:multiLevelType w:val="hybridMultilevel"/>
    <w:tmpl w:val="CF0A58C8"/>
    <w:lvl w:ilvl="0" w:tplc="67C69D9C">
      <w:start w:val="1"/>
      <w:numFmt w:val="bullet"/>
      <w:lvlText w:val="•"/>
      <w:lvlJc w:val="left"/>
      <w:pPr>
        <w:ind w:left="720" w:hanging="360"/>
      </w:pPr>
    </w:lvl>
    <w:lvl w:ilvl="1" w:tplc="04D23954">
      <w:numFmt w:val="decimal"/>
      <w:lvlText w:val=""/>
      <w:lvlJc w:val="left"/>
    </w:lvl>
    <w:lvl w:ilvl="2" w:tplc="D3F6FCAE">
      <w:numFmt w:val="decimal"/>
      <w:lvlText w:val=""/>
      <w:lvlJc w:val="left"/>
    </w:lvl>
    <w:lvl w:ilvl="3" w:tplc="6CA2243C">
      <w:numFmt w:val="decimal"/>
      <w:lvlText w:val=""/>
      <w:lvlJc w:val="left"/>
    </w:lvl>
    <w:lvl w:ilvl="4" w:tplc="9648C994">
      <w:numFmt w:val="decimal"/>
      <w:lvlText w:val=""/>
      <w:lvlJc w:val="left"/>
    </w:lvl>
    <w:lvl w:ilvl="5" w:tplc="BFBC3F36">
      <w:numFmt w:val="decimal"/>
      <w:lvlText w:val=""/>
      <w:lvlJc w:val="left"/>
    </w:lvl>
    <w:lvl w:ilvl="6" w:tplc="4FD6566E">
      <w:numFmt w:val="decimal"/>
      <w:lvlText w:val=""/>
      <w:lvlJc w:val="left"/>
    </w:lvl>
    <w:lvl w:ilvl="7" w:tplc="195AF520">
      <w:numFmt w:val="decimal"/>
      <w:lvlText w:val=""/>
      <w:lvlJc w:val="left"/>
    </w:lvl>
    <w:lvl w:ilvl="8" w:tplc="55CCF766">
      <w:numFmt w:val="decimal"/>
      <w:lvlText w:val=""/>
      <w:lvlJc w:val="left"/>
    </w:lvl>
  </w:abstractNum>
  <w:num w:numId="1" w16cid:durableId="191627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42"/>
    <w:rsid w:val="00AA068A"/>
    <w:rsid w:val="00B21BA8"/>
    <w:rsid w:val="00C92A42"/>
    <w:rsid w:val="00F05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C860"/>
  <w15:docId w15:val="{F738306B-E71C-442E-8DEA-D69AAD5B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80" w:after="80"/>
      <w:outlineLvl w:val="1"/>
    </w:pPr>
    <w:rPr>
      <w:rFonts w:ascii="Arial" w:eastAsia="Arial" w:hAnsi="Arial" w:cs="Arial"/>
      <w:b/>
      <w:bCs/>
      <w:sz w:val="26"/>
      <w:szCs w:val="26"/>
    </w:rPr>
  </w:style>
  <w:style w:type="paragraph" w:styleId="Heading3">
    <w:name w:val="heading 3"/>
    <w:uiPriority w:val="9"/>
    <w:semiHidden/>
    <w:unhideWhenUsed/>
    <w:qFormat/>
    <w:pPr>
      <w:spacing w:before="240" w:after="60"/>
      <w:outlineLvl w:val="2"/>
    </w:pPr>
    <w:rPr>
      <w:rFonts w:ascii="Arial" w:eastAsia="Arial" w:hAnsi="Arial" w:cs="Arial"/>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rial" w:eastAsia="Arial" w:hAnsi="Arial" w:cs="Arial"/>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after="200"/>
      <w:ind w:left="720" w:right="7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5771</Words>
  <Characters>32895</Characters>
  <Application>Microsoft Office Word</Application>
  <DocSecurity>0</DocSecurity>
  <Lines>274</Lines>
  <Paragraphs>77</Paragraphs>
  <ScaleCrop>false</ScaleCrop>
  <Company/>
  <LinksUpToDate>false</LinksUpToDate>
  <CharactersWithSpaces>38589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Haslam</cp:lastModifiedBy>
  <cp:revision>2</cp:revision>
  <dcterms:created xsi:type="dcterms:W3CDTF">2025-12-30T05:42:00Z</dcterms:created>
  <dcterms:modified xsi:type="dcterms:W3CDTF">2025-12-30T05:42:00Z</dcterms:modified>
</cp:coreProperties>
</file>