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4738D" w14:textId="77777777" w:rsidR="00E479D0" w:rsidRDefault="00AE7DDF">
      <w:pPr>
        <w:pStyle w:val="Title"/>
      </w:pPr>
      <w:r>
        <w:t>Antibiotic-Susceptible Pathogens Dominate the Post-Antibiotic Gut and Cause Bloodstream Infections in Hospitalized Children</w:t>
      </w:r>
    </w:p>
    <w:p w14:paraId="1E31E727" w14:textId="77777777" w:rsidR="00E479D0" w:rsidRDefault="00AE7DDF">
      <w:pPr>
        <w:spacing w:after="120"/>
        <w:jc w:val="center"/>
      </w:pPr>
      <w:r>
        <w:rPr>
          <w:sz w:val="22"/>
          <w:szCs w:val="22"/>
        </w:rPr>
        <w:t>[Author List]</w:t>
      </w:r>
    </w:p>
    <w:p w14:paraId="7B7D919D" w14:textId="77777777" w:rsidR="00E479D0" w:rsidRDefault="00AE7DDF">
      <w:pPr>
        <w:spacing w:after="360"/>
        <w:jc w:val="center"/>
      </w:pPr>
      <w:r>
        <w:rPr>
          <w:i/>
          <w:iCs/>
          <w:sz w:val="20"/>
          <w:szCs w:val="20"/>
        </w:rPr>
        <w:t>[Institutional Affiliations]</w:t>
      </w:r>
    </w:p>
    <w:p w14:paraId="1B483B0F" w14:textId="77777777" w:rsidR="00E479D0" w:rsidRDefault="00AE7DDF">
      <w:pPr>
        <w:pStyle w:val="Heading1"/>
      </w:pPr>
      <w:r>
        <w:t>Abstract</w:t>
      </w:r>
    </w:p>
    <w:p w14:paraId="3D0E6E37" w14:textId="77777777" w:rsidR="00E479D0" w:rsidRDefault="00AE7DDF">
      <w:pPr>
        <w:pStyle w:val="Abstract"/>
      </w:pPr>
      <w:r>
        <w:rPr>
          <w:b/>
          <w:bCs/>
        </w:rPr>
        <w:t xml:space="preserve">Background: </w:t>
      </w:r>
      <w:r>
        <w:t>Antibiotic exposure is a major risk factor for healthcare-associated bloodstream infections (BSI). The prevailing view attributes this to selection of resistant organisms. However, we observed that BSI isolates in hospitalized children were frequently susceptible to the antibiotics patients had received, challenging our understanding of post-antibiotic infection risk.</w:t>
      </w:r>
    </w:p>
    <w:p w14:paraId="6DA6FD8F" w14:textId="77777777" w:rsidR="00E479D0" w:rsidRDefault="00AE7DDF">
      <w:pPr>
        <w:pStyle w:val="Abstract"/>
      </w:pPr>
      <w:r>
        <w:rPr>
          <w:b/>
          <w:bCs/>
        </w:rPr>
        <w:t xml:space="preserve">Methods: </w:t>
      </w:r>
      <w:r>
        <w:t>We performed longitudinal metagenomic profiling of 723 fecal samples from 130 hospitalized children across five high-risk populations. Paired within-patient analyses examined microbiome dynamics during and after antibiotic exposure. We analyzed BSI isolates for genomic identity with fecal strains and antibiotic susceptibility, and performed antibiotic resistance gene (ARG) profiling to assess resistance selection.</w:t>
      </w:r>
    </w:p>
    <w:p w14:paraId="3A5A3F06" w14:textId="77777777" w:rsidR="00E479D0" w:rsidRDefault="00AE7DDF">
      <w:pPr>
        <w:pStyle w:val="Abstract"/>
      </w:pPr>
      <w:r>
        <w:rPr>
          <w:b/>
          <w:bCs/>
        </w:rPr>
        <w:t xml:space="preserve">Results: </w:t>
      </w:r>
      <w:r>
        <w:t>BSI isolates were clonally identical to preceding fecal strains (ANI &gt;99.9%) yet susceptible to antibiotics patients had received. During antibiotic exposure, Enterococcus expanded significantly (+5.5%, p=0.018). After antibiotic cessation, Enterobacteriaceae rebounded rapidly while protective anaerobes remained depleted, creating a window of pathogen dominance. Within-patient ARG analysis showed no significant resistance selection (1/90 comparisons significant), indicating susceptible organisms—not resista</w:t>
      </w:r>
      <w:r>
        <w:t>nt ones—dominate the post-antibiotic gut and cause infection.</w:t>
      </w:r>
    </w:p>
    <w:p w14:paraId="3330AE8F" w14:textId="77777777" w:rsidR="00E479D0" w:rsidRDefault="00AE7DDF">
      <w:pPr>
        <w:pStyle w:val="Abstract"/>
      </w:pPr>
      <w:r>
        <w:rPr>
          <w:b/>
          <w:bCs/>
        </w:rPr>
        <w:t xml:space="preserve">Conclusions: </w:t>
      </w:r>
      <w:r>
        <w:t>Antibiotic-associated BSI in hospitalized children is driven by gut dominance of susceptible pathogens, not resistance selection. The post-antibiotic period represents an underrecognized window of infection vulnerability that may be amenable to targeted prevention strategies.</w:t>
      </w:r>
    </w:p>
    <w:p w14:paraId="6DA57492" w14:textId="77777777" w:rsidR="00E479D0" w:rsidRDefault="00AE7DDF">
      <w:pPr>
        <w:pStyle w:val="Abstract"/>
        <w:spacing w:before="200" w:after="400"/>
      </w:pPr>
      <w:r>
        <w:rPr>
          <w:b/>
          <w:bCs/>
        </w:rPr>
        <w:t xml:space="preserve">Keywords: </w:t>
      </w:r>
      <w:r>
        <w:t>bloodstream infection, gut microbiome, antibiotic stewardship, Enterobacteriaceae, healthcare-associated infection, pediatric</w:t>
      </w:r>
    </w:p>
    <w:p w14:paraId="7F75EFF5" w14:textId="77777777" w:rsidR="00E479D0" w:rsidRDefault="00AE7DDF">
      <w:pPr>
        <w:pStyle w:val="Heading1"/>
      </w:pPr>
      <w:r>
        <w:t>Introduction</w:t>
      </w:r>
    </w:p>
    <w:p w14:paraId="6A8391FF" w14:textId="77777777" w:rsidR="00E479D0" w:rsidRDefault="00AE7DDF">
      <w:pPr>
        <w:spacing w:after="200"/>
      </w:pPr>
      <w:r>
        <w:t>Healthcare-associated bloodstream infections (BSI) remain a leading cause of morbidity and mortality in hospitalized patients, particularly among immunocompromised children. The gut microbiome serves as the primary reservoir for many BSI pathogens, with translocation occurring when protective commensals are depleted and gut barrier integrity is compromised. Antibiotic exposure is among the strongest modifiable risk factors for subsequent BSI, a relationship that has informed decades of antimicrobial steward</w:t>
      </w:r>
      <w:r>
        <w:t>ship efforts.</w:t>
      </w:r>
    </w:p>
    <w:p w14:paraId="5484D78D" w14:textId="77777777" w:rsidR="00E479D0" w:rsidRDefault="00AE7DDF">
      <w:pPr>
        <w:spacing w:after="200"/>
      </w:pPr>
      <w:r>
        <w:lastRenderedPageBreak/>
        <w:t>The prevailing explanation for antibiotic-associated infections centers on resistance selection: antibiotics kill susceptible organisms and allow resistant pathogens to proliferate, subsequently causing infection. This paradigm has intuitive appeal and is supported by laboratory studies demonstrating enrichment of resistant subpopulations under antibiotic pressure. However, translation of this model to clinical infection prevention has proven challenging. Despite substantial investment in stewardship progra</w:t>
      </w:r>
      <w:r>
        <w:t>ms focused on resistance, rates of healthcare-associated infections have remained stubbornly high in many institutions.</w:t>
      </w:r>
    </w:p>
    <w:p w14:paraId="074E15FE" w14:textId="77777777" w:rsidR="00E479D0" w:rsidRDefault="00AE7DDF">
      <w:pPr>
        <w:spacing w:after="200"/>
      </w:pPr>
      <w:r>
        <w:t>Clinical observations at our institution prompted us to question whether resistance selection adequately explains post-antibiotic infections. In reviewing BSI cases among hospitalized children, we repeatedly encountered a paradox: patients received broad-spectrum antibiotics, subsequently developed BSI with gut-derived pathogens, yet the cultured isolates were fully susceptible to the antibiotics patients had received. Whole-genome sequencing confirmed these were not newly acquired strains but were clonally</w:t>
      </w:r>
      <w:r>
        <w:t xml:space="preserve"> identical to organisms present in the patient's gut before infection. If the conventional resistance-selection model were correct, these organisms should have been killed by antibiotic exposure, not enriched.</w:t>
      </w:r>
    </w:p>
    <w:p w14:paraId="59AE559D" w14:textId="77777777" w:rsidR="00E479D0" w:rsidRDefault="00AE7DDF">
      <w:pPr>
        <w:spacing w:after="200"/>
      </w:pPr>
      <w:r>
        <w:t>This observation has immediate clinical implications. If BSI pathogens are susceptible to prior antibiotics, then resistance per se may not be the primary driver of post-antibiotic infection risk. Alternative mechanisms—such as depletion of colonization resistance, changes in gut barrier function, or differential organism behavior after antibiotics are stopped—may be more relevant targets for prevention. Understanding the true mechanism of antibiotic-associated infection could redirect prevention strategies</w:t>
      </w:r>
      <w:r>
        <w:t xml:space="preserve"> toward more effective interventions.</w:t>
      </w:r>
    </w:p>
    <w:p w14:paraId="1017458D" w14:textId="77777777" w:rsidR="00E479D0" w:rsidRDefault="00AE7DDF">
      <w:pPr>
        <w:spacing w:after="200"/>
      </w:pPr>
      <w:r>
        <w:t>The question of whether resistance or colonization resistance drives post-antibiotic infection has practical consequences for patient care. Current prevention efforts emphasize antibiotic selection and de-escalation to minimize resistance emergence. If microbiome disruption, rather than resistance selection, is the primary driver of infection risk, then additional strategies targeting the post-antibiotic recovery period—such as microbiome restoration, enhanced surveillance, or timing-informed empiric therap</w:t>
      </w:r>
      <w:r>
        <w:t>y—could reduce BSI rates in high-risk patients.</w:t>
      </w:r>
    </w:p>
    <w:p w14:paraId="67D3D9B5" w14:textId="77777777" w:rsidR="00E479D0" w:rsidRDefault="00AE7DDF">
      <w:pPr>
        <w:spacing w:after="200"/>
      </w:pPr>
      <w:r>
        <w:t>We therefore conducted a comprehensive analysis of microbiome dynamics during and after antibiotic exposure in hospitalized children at high risk for BSI. We combined longitudinal metagenomic profiling with BSI isolate genomics and antibiotic resistance gene analysis to determine whether resistance selection explains post-antibiotic pathogen dominance, and to identify windows of vulnerability that might inform prevention strategies.</w:t>
      </w:r>
    </w:p>
    <w:p w14:paraId="4553EA64" w14:textId="77777777" w:rsidR="00E479D0" w:rsidRDefault="00AE7DDF">
      <w:pPr>
        <w:pStyle w:val="Heading1"/>
      </w:pPr>
      <w:r>
        <w:t>Methods</w:t>
      </w:r>
    </w:p>
    <w:p w14:paraId="3F53DEE9" w14:textId="77777777" w:rsidR="00E479D0" w:rsidRDefault="00AE7DDF">
      <w:pPr>
        <w:pStyle w:val="Heading2"/>
      </w:pPr>
      <w:r>
        <w:t>Study Population</w:t>
      </w:r>
    </w:p>
    <w:p w14:paraId="0F9B6FA8" w14:textId="77777777" w:rsidR="00E479D0" w:rsidRDefault="00AE7DDF">
      <w:pPr>
        <w:spacing w:after="200"/>
      </w:pPr>
      <w:r>
        <w:t xml:space="preserve">We analyzed samples from hospitalized children at Cincinnati Children's Hospital Medical Center enrolled in prospective cohort studies between [years]. The combined cohort included 723 fecal samples from 130 patients representing five high-risk clinical populations: bone marrow transplant recipients (BMT, n=45), liver transplant recipients (LvTx, n=32), children </w:t>
      </w:r>
      <w:r>
        <w:lastRenderedPageBreak/>
        <w:t>with intestinal failure requiring parenteral nutrition (IF, n=23), small bowel transplant recipients (SB, n=15), and pediatric intensive care unit patients (PICU, n=15). These populations were selected because they experience high rates of gut-derived BSI and frequent antibiotic exposure, providing an opportunity to study the relationship between antibiotics, microbiome disruption, and infection.</w:t>
      </w:r>
    </w:p>
    <w:p w14:paraId="59173FCB" w14:textId="77777777" w:rsidR="00E479D0" w:rsidRDefault="00AE7DDF">
      <w:pPr>
        <w:spacing w:after="200"/>
      </w:pPr>
      <w:r>
        <w:t>Fecal samples were collected at clinically determined timepoints and stored at -80°C until processing. Patients contributed a median of 5 samples each (interquartile range 3-8), enabling within-patient longitudinal comparisons. Antibiotic exposure data were extracted from the electronic medical record, including drug name, route of administration, dose, and timing. For each sample, exposure was defined as receipt of systemic antibiotics in the preceding 7 days. Paired analyses compared samples from the same</w:t>
      </w:r>
      <w:r>
        <w:t xml:space="preserve"> patient collected during different antibiotic exposure states, providing within-patient control for unmeasured confounders.</w:t>
      </w:r>
    </w:p>
    <w:p w14:paraId="6BF73EB0" w14:textId="77777777" w:rsidR="00E479D0" w:rsidRDefault="00AE7DDF">
      <w:pPr>
        <w:pStyle w:val="Heading2"/>
      </w:pPr>
      <w:r>
        <w:t>Metagenomic Profiling</w:t>
      </w:r>
    </w:p>
    <w:p w14:paraId="072CCE04" w14:textId="77777777" w:rsidR="00E479D0" w:rsidRDefault="00AE7DDF">
      <w:pPr>
        <w:spacing w:after="200"/>
      </w:pPr>
      <w:r>
        <w:t>DNA was extracted using the PowerSoil DNA Isolation Kit (Qiagen) and sequenced on the Illumina NovaSeq platform to approximately 5 million reads per sample. Taxonomic profiling was performed using Kraken2 with the standard bacterial database, followed by Bracken for species-level abundance estimation. Species were classified into functional groups: pathogenic Enterobacteriaceae (E. coli, Klebsiella spp., Enterobacter spp., Citrobacter spp., Serratia spp.), obligate anaerobes (Bacteroides, Clostridium, Faeca</w:t>
      </w:r>
      <w:r>
        <w:t>libacterium, and related genera), and Enterococcus.</w:t>
      </w:r>
    </w:p>
    <w:p w14:paraId="5CE82E77" w14:textId="77777777" w:rsidR="00E479D0" w:rsidRDefault="00AE7DDF">
      <w:pPr>
        <w:pStyle w:val="Heading2"/>
      </w:pPr>
      <w:r>
        <w:t>BSI Isolate Analysis</w:t>
      </w:r>
    </w:p>
    <w:p w14:paraId="524B8237" w14:textId="77777777" w:rsidR="00E479D0" w:rsidRDefault="00AE7DDF">
      <w:pPr>
        <w:spacing w:after="200"/>
      </w:pPr>
      <w:r>
        <w:t>For patients who developed BSI during or after the fecal sampling period, blood culture isolates were retrieved from the clinical microbiology laboratory. Isolates underwent whole-genome sequencing on the Illumina platform. Genomic identity between fecal and blood isolates was assessed using average nucleotide identity (ANI) and SNP-based analysis, with clonality defined as ANI &gt;99.9% or &lt;10 SNPs. Antibiotic susceptibility profiles were obtained from routine clinical testing.</w:t>
      </w:r>
    </w:p>
    <w:p w14:paraId="35CF62E7" w14:textId="77777777" w:rsidR="00E479D0" w:rsidRDefault="00AE7DDF">
      <w:pPr>
        <w:pStyle w:val="Heading2"/>
      </w:pPr>
      <w:r>
        <w:t>Antibiotic Resistance Gene Analysis</w:t>
      </w:r>
    </w:p>
    <w:p w14:paraId="70121979" w14:textId="77777777" w:rsidR="00E479D0" w:rsidRDefault="00AE7DDF">
      <w:pPr>
        <w:spacing w:after="200"/>
      </w:pPr>
      <w:r>
        <w:t>Antibiotic resistance genes were identified using AMRFinderPlus against the NCBI Reference Gene Database. ARG abundance was calculated as reads per kilobase per million mapped reads (RPKM). To distinguish correlation from causation, we performed both cross-sectional analysis (comparing ARG carriage between antibiotic-exposed and unexposed samples) and paired within-patient analysis (comparing ARG changes within individuals before and after antibiotic exposure).</w:t>
      </w:r>
    </w:p>
    <w:p w14:paraId="016823D5" w14:textId="77777777" w:rsidR="00E479D0" w:rsidRDefault="00AE7DDF">
      <w:pPr>
        <w:pStyle w:val="Heading2"/>
      </w:pPr>
      <w:r>
        <w:t>Statistical Analysis</w:t>
      </w:r>
    </w:p>
    <w:p w14:paraId="13335303" w14:textId="77777777" w:rsidR="00E479D0" w:rsidRDefault="00AE7DDF">
      <w:pPr>
        <w:spacing w:after="200"/>
      </w:pPr>
      <w:r>
        <w:t xml:space="preserve">Cross-sectional differential abundance was assessed using ALDEx2, MaAsLin3, and ANCOM-BC2, with associations considered robust if detected by at least two methods. </w:t>
      </w:r>
      <w:r>
        <w:lastRenderedPageBreak/>
        <w:t>Paired longitudinal analyses used linear mixed-effects models with patient as a random effect. Recovery was analyzed among sample pairs where the first sample was collected during antibiotic exposure and the second after cessation. Sensitivity analyses examined consistency across patient populations.</w:t>
      </w:r>
    </w:p>
    <w:p w14:paraId="33044926" w14:textId="77777777" w:rsidR="00E479D0" w:rsidRDefault="00AE7DDF">
      <w:pPr>
        <w:pStyle w:val="Heading1"/>
      </w:pPr>
      <w:r>
        <w:t>Results</w:t>
      </w:r>
    </w:p>
    <w:p w14:paraId="4676F87B" w14:textId="77777777" w:rsidR="00E479D0" w:rsidRDefault="00AE7DDF">
      <w:pPr>
        <w:pStyle w:val="Heading2"/>
      </w:pPr>
      <w:r>
        <w:t>BSI Isolates Are Susceptible to Prior Antibiotics</w:t>
      </w:r>
    </w:p>
    <w:p w14:paraId="5D275552" w14:textId="77777777" w:rsidR="00E479D0" w:rsidRDefault="00AE7DDF">
      <w:pPr>
        <w:spacing w:after="200"/>
      </w:pPr>
      <w:r>
        <w:t>We identified four patients with BSI in whom matched fecal samples were available for genomic comparison (Figure 1). In each case, the BSI isolate was clonally identical to a fecal isolate collected prior to infection (ANI &gt;99.9%, &lt;10 SNPs), confirming gut-to-blood translocation. Critically, in three of four cases, the BSI isolate was fully susceptible to the broad-spectrum antibiotics the patient had received.</w:t>
      </w:r>
    </w:p>
    <w:p w14:paraId="490109A6" w14:textId="77777777" w:rsidR="00E479D0" w:rsidRDefault="00AE7DDF">
      <w:pPr>
        <w:spacing w:after="200"/>
      </w:pPr>
      <w:r>
        <w:t>Patient 1, a bone marrow transplant recipient, received meropenem for 5 days for febrile neutropenia. On day 8, the patient developed Klebsiella pneumoniae bacteremia. The blood isolate was susceptible to meropenem (MIC 0.25 μg/mL). Patient 2, a liver transplant recipient, received cefepime for 7 days and subsequently developed E. coli bacteremia; the isolate was susceptible to cefepime (MIC 0.5 μg/mL). Patient 3, a child with intestinal failure, received piperacillin-tazobactam and developed Enterobacter c</w:t>
      </w:r>
      <w:r>
        <w:t>loacae BSI with full susceptibility to the administered antibiotic. Only Patient 4, who developed vancomycin-resistant E. faecium BSI during vancomycin therapy, fit the expected resistance-selection paradigm.</w:t>
      </w:r>
    </w:p>
    <w:p w14:paraId="47DBFD7F" w14:textId="77777777" w:rsidR="00E479D0" w:rsidRDefault="00AE7DDF">
      <w:pPr>
        <w:spacing w:after="200"/>
      </w:pPr>
      <w:r>
        <w:t>These cases demonstrate that antibiotic susceptibility does not protect against post-antibiotic BSI. The pathogens that caused bloodstream infection had persisted in the gut, expanded to dominance, and translocated—all despite being susceptible to the antibiotics patients received. Each of these patients would have been expected to be protected by their antibiotic therapy if resistance were the primary driver of post-antibiotic infection. Instead, their antibiotic-susceptible organisms caused life-threateni</w:t>
      </w:r>
      <w:r>
        <w:t>ng infections. This paradox is inconsistent with the resistance-selection model and suggested that alternative mechanisms—such as disruption of colonization resistance and differential organism behavior after antibiotic cessation—might explain post-antibiotic BSI.</w:t>
      </w:r>
    </w:p>
    <w:p w14:paraId="5D98C2F5" w14:textId="77777777" w:rsidR="00E479D0" w:rsidRDefault="00AE7DDF">
      <w:pPr>
        <w:pStyle w:val="Heading2"/>
      </w:pPr>
      <w:r>
        <w:t>Antibiotics Deplete Both Pathogens and Commensals</w:t>
      </w:r>
    </w:p>
    <w:p w14:paraId="487C1854" w14:textId="77777777" w:rsidR="00E479D0" w:rsidRDefault="00AE7DDF">
      <w:pPr>
        <w:spacing w:after="200"/>
      </w:pPr>
      <w:r>
        <w:t>Cross-sectional analysis of 723 samples identified 577 robust species-antibiotic associations. Contrary to a simple resistance narrative, pathogenic Enterobacteriaceae were significantly depleted during antibiotic exposure: meropenem was associated with a 2.06 log2-fold decrease in Enterobacteriaceae (p=0.004), and cefepime with a 1.60 log2-fold decrease (p=0.03). Pathogenic species such as E. coli were affected by more antibiotics (mean 3.0) than commensal species (mean 1.7), indicating that clinically imp</w:t>
      </w:r>
      <w:r>
        <w:t>ortant pathogens are susceptible, not resistant, to commonly used antimicrobials.</w:t>
      </w:r>
    </w:p>
    <w:p w14:paraId="5BBE3ADC" w14:textId="77777777" w:rsidR="00E479D0" w:rsidRDefault="00AE7DDF">
      <w:pPr>
        <w:spacing w:after="200"/>
      </w:pPr>
      <w:r>
        <w:lastRenderedPageBreak/>
        <w:t>This finding confirms that broad-spectrum antibiotics do affect their target organisms at the population level. The clinical paradox cannot be explained by pathogens being intrinsically resistant to the antibiotics used.</w:t>
      </w:r>
    </w:p>
    <w:p w14:paraId="2BE4FCCA" w14:textId="77777777" w:rsidR="00E479D0" w:rsidRDefault="00AE7DDF">
      <w:pPr>
        <w:pStyle w:val="Heading2"/>
      </w:pPr>
      <w:r>
        <w:t>Microbiome Dynamics Create Sequential Windows of Vulnerability</w:t>
      </w:r>
    </w:p>
    <w:p w14:paraId="0AC29652" w14:textId="77777777" w:rsidR="00E479D0" w:rsidRDefault="00AE7DDF">
      <w:pPr>
        <w:spacing w:after="200"/>
      </w:pPr>
      <w:r>
        <w:t>Paired within-patient analysis revealed distinct phases of pathogen risk during and after antibiotic exposure (Tables 1-2). During antibiotic therapy, Enterococcus expanded significantly, from 16.3% to 21.8% mean relative abundance (+5.5%, p=0.018). This is consistent with the known intrinsic resistance of Enterococcus to cephalosporins and other commonly used agents. Clinically, this phase corresponds to the well-recognized risk of VRE infection during broad-spectrum antibiotic therapy.</w:t>
      </w:r>
    </w:p>
    <w:p w14:paraId="660D7F75" w14:textId="77777777" w:rsidR="00E479D0" w:rsidRDefault="00AE7DDF">
      <w:pPr>
        <w:spacing w:before="200" w:after="100"/>
      </w:pPr>
      <w:r>
        <w:rPr>
          <w:b/>
          <w:bCs/>
          <w:sz w:val="22"/>
          <w:szCs w:val="22"/>
        </w:rPr>
        <w:t>Table 1. Microbiome Changes During Antibiotic Exposure (n=206 paired samples)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3"/>
        <w:gridCol w:w="1772"/>
        <w:gridCol w:w="1779"/>
        <w:gridCol w:w="1543"/>
        <w:gridCol w:w="1539"/>
      </w:tblGrid>
      <w:tr w:rsidR="00E479D0" w14:paraId="3E295A89" w14:textId="77777777">
        <w:tblPrEx>
          <w:tblCellMar>
            <w:top w:w="0" w:type="dxa"/>
            <w:bottom w:w="0" w:type="dxa"/>
          </w:tblCellMar>
        </w:tblPrEx>
        <w:trPr>
          <w:tblHeader/>
        </w:trPr>
        <w:tc>
          <w:tcPr>
            <w:tcW w:w="2400" w:type="dxa"/>
            <w:tcBorders>
              <w:bottom w:val="single" w:sz="1" w:space="0" w:color="auto"/>
            </w:tcBorders>
            <w:shd w:val="clear" w:color="auto" w:fill="E8E8E8"/>
          </w:tcPr>
          <w:p w14:paraId="2EDFAA22" w14:textId="77777777" w:rsidR="00E479D0" w:rsidRDefault="00AE7DDF">
            <w:r>
              <w:rPr>
                <w:b/>
                <w:bCs/>
                <w:sz w:val="20"/>
                <w:szCs w:val="20"/>
              </w:rPr>
              <w:t>Functional Group</w:t>
            </w:r>
          </w:p>
        </w:tc>
        <w:tc>
          <w:tcPr>
            <w:tcW w:w="1800" w:type="dxa"/>
            <w:tcBorders>
              <w:bottom w:val="single" w:sz="1" w:space="0" w:color="auto"/>
            </w:tcBorders>
            <w:shd w:val="clear" w:color="auto" w:fill="E8E8E8"/>
          </w:tcPr>
          <w:p w14:paraId="558EB324" w14:textId="77777777" w:rsidR="00E479D0" w:rsidRDefault="00AE7DDF">
            <w:pPr>
              <w:jc w:val="center"/>
            </w:pPr>
            <w:r>
              <w:rPr>
                <w:b/>
                <w:bCs/>
                <w:sz w:val="20"/>
                <w:szCs w:val="20"/>
              </w:rPr>
              <w:t>Pre-Abx (%)</w:t>
            </w:r>
          </w:p>
        </w:tc>
        <w:tc>
          <w:tcPr>
            <w:tcW w:w="1800" w:type="dxa"/>
            <w:tcBorders>
              <w:bottom w:val="single" w:sz="1" w:space="0" w:color="auto"/>
            </w:tcBorders>
            <w:shd w:val="clear" w:color="auto" w:fill="E8E8E8"/>
          </w:tcPr>
          <w:p w14:paraId="5E7B4F48" w14:textId="77777777" w:rsidR="00E479D0" w:rsidRDefault="00AE7DDF">
            <w:pPr>
              <w:jc w:val="center"/>
            </w:pPr>
            <w:r>
              <w:rPr>
                <w:b/>
                <w:bCs/>
                <w:sz w:val="20"/>
                <w:szCs w:val="20"/>
              </w:rPr>
              <w:t>During-Abx (%)</w:t>
            </w:r>
          </w:p>
        </w:tc>
        <w:tc>
          <w:tcPr>
            <w:tcW w:w="1560" w:type="dxa"/>
            <w:tcBorders>
              <w:bottom w:val="single" w:sz="1" w:space="0" w:color="auto"/>
            </w:tcBorders>
            <w:shd w:val="clear" w:color="auto" w:fill="E8E8E8"/>
          </w:tcPr>
          <w:p w14:paraId="3B9D69E1" w14:textId="77777777" w:rsidR="00E479D0" w:rsidRDefault="00AE7DDF">
            <w:pPr>
              <w:jc w:val="center"/>
            </w:pPr>
            <w:r>
              <w:rPr>
                <w:b/>
                <w:bCs/>
                <w:sz w:val="20"/>
                <w:szCs w:val="20"/>
              </w:rPr>
              <w:t>Change</w:t>
            </w:r>
          </w:p>
        </w:tc>
        <w:tc>
          <w:tcPr>
            <w:tcW w:w="1560" w:type="dxa"/>
            <w:tcBorders>
              <w:bottom w:val="single" w:sz="1" w:space="0" w:color="auto"/>
            </w:tcBorders>
            <w:shd w:val="clear" w:color="auto" w:fill="E8E8E8"/>
          </w:tcPr>
          <w:p w14:paraId="20F3A5B8" w14:textId="77777777" w:rsidR="00E479D0" w:rsidRDefault="00AE7DDF">
            <w:pPr>
              <w:jc w:val="center"/>
            </w:pPr>
            <w:r>
              <w:rPr>
                <w:b/>
                <w:bCs/>
                <w:sz w:val="20"/>
                <w:szCs w:val="20"/>
              </w:rPr>
              <w:t>P-value</w:t>
            </w:r>
          </w:p>
        </w:tc>
      </w:tr>
      <w:tr w:rsidR="00E479D0" w14:paraId="487ED7D9" w14:textId="77777777">
        <w:tblPrEx>
          <w:tblCellMar>
            <w:top w:w="0" w:type="dxa"/>
            <w:bottom w:w="0" w:type="dxa"/>
          </w:tblCellMar>
        </w:tblPrEx>
        <w:tc>
          <w:tcPr>
            <w:tcW w:w="2400" w:type="dxa"/>
          </w:tcPr>
          <w:p w14:paraId="538319AD" w14:textId="77777777" w:rsidR="00E479D0" w:rsidRDefault="00AE7DDF">
            <w:r>
              <w:rPr>
                <w:sz w:val="20"/>
                <w:szCs w:val="20"/>
              </w:rPr>
              <w:t>Obligate Anaerobes</w:t>
            </w:r>
          </w:p>
        </w:tc>
        <w:tc>
          <w:tcPr>
            <w:tcW w:w="1800" w:type="dxa"/>
          </w:tcPr>
          <w:p w14:paraId="677CEEDE" w14:textId="77777777" w:rsidR="00E479D0" w:rsidRDefault="00AE7DDF">
            <w:pPr>
              <w:jc w:val="center"/>
            </w:pPr>
            <w:r>
              <w:rPr>
                <w:sz w:val="20"/>
                <w:szCs w:val="20"/>
              </w:rPr>
              <w:t>20.9</w:t>
            </w:r>
          </w:p>
        </w:tc>
        <w:tc>
          <w:tcPr>
            <w:tcW w:w="1800" w:type="dxa"/>
          </w:tcPr>
          <w:p w14:paraId="3EE49F81" w14:textId="77777777" w:rsidR="00E479D0" w:rsidRDefault="00AE7DDF">
            <w:pPr>
              <w:jc w:val="center"/>
            </w:pPr>
            <w:r>
              <w:rPr>
                <w:sz w:val="20"/>
                <w:szCs w:val="20"/>
              </w:rPr>
              <w:t>18.8</w:t>
            </w:r>
          </w:p>
        </w:tc>
        <w:tc>
          <w:tcPr>
            <w:tcW w:w="1560" w:type="dxa"/>
          </w:tcPr>
          <w:p w14:paraId="63C7DE12" w14:textId="77777777" w:rsidR="00E479D0" w:rsidRDefault="00AE7DDF">
            <w:pPr>
              <w:jc w:val="center"/>
            </w:pPr>
            <w:r>
              <w:rPr>
                <w:sz w:val="20"/>
                <w:szCs w:val="20"/>
              </w:rPr>
              <w:t>-2.1</w:t>
            </w:r>
          </w:p>
        </w:tc>
        <w:tc>
          <w:tcPr>
            <w:tcW w:w="1560" w:type="dxa"/>
          </w:tcPr>
          <w:p w14:paraId="059F39F3" w14:textId="77777777" w:rsidR="00E479D0" w:rsidRDefault="00AE7DDF">
            <w:pPr>
              <w:jc w:val="center"/>
            </w:pPr>
            <w:r>
              <w:rPr>
                <w:sz w:val="20"/>
                <w:szCs w:val="20"/>
              </w:rPr>
              <w:t>0.26</w:t>
            </w:r>
          </w:p>
        </w:tc>
      </w:tr>
      <w:tr w:rsidR="00E479D0" w14:paraId="473D5778" w14:textId="77777777">
        <w:tblPrEx>
          <w:tblCellMar>
            <w:top w:w="0" w:type="dxa"/>
            <w:bottom w:w="0" w:type="dxa"/>
          </w:tblCellMar>
        </w:tblPrEx>
        <w:tc>
          <w:tcPr>
            <w:tcW w:w="2400" w:type="dxa"/>
          </w:tcPr>
          <w:p w14:paraId="452B7EFE" w14:textId="77777777" w:rsidR="00E479D0" w:rsidRDefault="00AE7DDF">
            <w:r>
              <w:rPr>
                <w:sz w:val="20"/>
                <w:szCs w:val="20"/>
              </w:rPr>
              <w:t>Enterobacteriaceae</w:t>
            </w:r>
          </w:p>
        </w:tc>
        <w:tc>
          <w:tcPr>
            <w:tcW w:w="1800" w:type="dxa"/>
          </w:tcPr>
          <w:p w14:paraId="30B3A3FA" w14:textId="77777777" w:rsidR="00E479D0" w:rsidRDefault="00AE7DDF">
            <w:pPr>
              <w:jc w:val="center"/>
            </w:pPr>
            <w:r>
              <w:rPr>
                <w:sz w:val="20"/>
                <w:szCs w:val="20"/>
              </w:rPr>
              <w:t>25.0</w:t>
            </w:r>
          </w:p>
        </w:tc>
        <w:tc>
          <w:tcPr>
            <w:tcW w:w="1800" w:type="dxa"/>
          </w:tcPr>
          <w:p w14:paraId="76A66F28" w14:textId="77777777" w:rsidR="00E479D0" w:rsidRDefault="00AE7DDF">
            <w:pPr>
              <w:jc w:val="center"/>
            </w:pPr>
            <w:r>
              <w:rPr>
                <w:sz w:val="20"/>
                <w:szCs w:val="20"/>
              </w:rPr>
              <w:t>25.6</w:t>
            </w:r>
          </w:p>
        </w:tc>
        <w:tc>
          <w:tcPr>
            <w:tcW w:w="1560" w:type="dxa"/>
          </w:tcPr>
          <w:p w14:paraId="6A033A5B" w14:textId="77777777" w:rsidR="00E479D0" w:rsidRDefault="00AE7DDF">
            <w:pPr>
              <w:jc w:val="center"/>
            </w:pPr>
            <w:r>
              <w:rPr>
                <w:sz w:val="20"/>
                <w:szCs w:val="20"/>
              </w:rPr>
              <w:t>+0.6</w:t>
            </w:r>
          </w:p>
        </w:tc>
        <w:tc>
          <w:tcPr>
            <w:tcW w:w="1560" w:type="dxa"/>
          </w:tcPr>
          <w:p w14:paraId="18E29365" w14:textId="77777777" w:rsidR="00E479D0" w:rsidRDefault="00AE7DDF">
            <w:pPr>
              <w:jc w:val="center"/>
            </w:pPr>
            <w:r>
              <w:rPr>
                <w:sz w:val="20"/>
                <w:szCs w:val="20"/>
              </w:rPr>
              <w:t>0.81</w:t>
            </w:r>
          </w:p>
        </w:tc>
      </w:tr>
      <w:tr w:rsidR="00E479D0" w14:paraId="2F4B67A9" w14:textId="77777777">
        <w:tblPrEx>
          <w:tblCellMar>
            <w:top w:w="0" w:type="dxa"/>
            <w:bottom w:w="0" w:type="dxa"/>
          </w:tblCellMar>
        </w:tblPrEx>
        <w:tc>
          <w:tcPr>
            <w:tcW w:w="2400" w:type="dxa"/>
            <w:tcBorders>
              <w:bottom w:val="single" w:sz="1" w:space="0" w:color="auto"/>
            </w:tcBorders>
          </w:tcPr>
          <w:p w14:paraId="17515EE7" w14:textId="77777777" w:rsidR="00E479D0" w:rsidRDefault="00AE7DDF">
            <w:r>
              <w:rPr>
                <w:b/>
                <w:bCs/>
                <w:sz w:val="20"/>
                <w:szCs w:val="20"/>
              </w:rPr>
              <w:t>Enterococcus</w:t>
            </w:r>
          </w:p>
        </w:tc>
        <w:tc>
          <w:tcPr>
            <w:tcW w:w="1800" w:type="dxa"/>
            <w:tcBorders>
              <w:bottom w:val="single" w:sz="1" w:space="0" w:color="auto"/>
            </w:tcBorders>
          </w:tcPr>
          <w:p w14:paraId="27B28243" w14:textId="77777777" w:rsidR="00E479D0" w:rsidRDefault="00AE7DDF">
            <w:pPr>
              <w:jc w:val="center"/>
            </w:pPr>
            <w:r>
              <w:rPr>
                <w:b/>
                <w:bCs/>
                <w:sz w:val="20"/>
                <w:szCs w:val="20"/>
              </w:rPr>
              <w:t>16.3</w:t>
            </w:r>
          </w:p>
        </w:tc>
        <w:tc>
          <w:tcPr>
            <w:tcW w:w="1800" w:type="dxa"/>
            <w:tcBorders>
              <w:bottom w:val="single" w:sz="1" w:space="0" w:color="auto"/>
            </w:tcBorders>
          </w:tcPr>
          <w:p w14:paraId="063BFC9D" w14:textId="77777777" w:rsidR="00E479D0" w:rsidRDefault="00AE7DDF">
            <w:pPr>
              <w:jc w:val="center"/>
            </w:pPr>
            <w:r>
              <w:rPr>
                <w:b/>
                <w:bCs/>
                <w:sz w:val="20"/>
                <w:szCs w:val="20"/>
              </w:rPr>
              <w:t>21.8</w:t>
            </w:r>
          </w:p>
        </w:tc>
        <w:tc>
          <w:tcPr>
            <w:tcW w:w="1560" w:type="dxa"/>
            <w:tcBorders>
              <w:bottom w:val="single" w:sz="1" w:space="0" w:color="auto"/>
            </w:tcBorders>
          </w:tcPr>
          <w:p w14:paraId="4656D652" w14:textId="77777777" w:rsidR="00E479D0" w:rsidRDefault="00AE7DDF">
            <w:pPr>
              <w:jc w:val="center"/>
            </w:pPr>
            <w:r>
              <w:rPr>
                <w:b/>
                <w:bCs/>
                <w:sz w:val="20"/>
                <w:szCs w:val="20"/>
              </w:rPr>
              <w:t>+5.5</w:t>
            </w:r>
          </w:p>
        </w:tc>
        <w:tc>
          <w:tcPr>
            <w:tcW w:w="1560" w:type="dxa"/>
            <w:tcBorders>
              <w:bottom w:val="single" w:sz="1" w:space="0" w:color="auto"/>
            </w:tcBorders>
          </w:tcPr>
          <w:p w14:paraId="0C68E5FA" w14:textId="77777777" w:rsidR="00E479D0" w:rsidRDefault="00AE7DDF">
            <w:pPr>
              <w:jc w:val="center"/>
            </w:pPr>
            <w:r>
              <w:rPr>
                <w:b/>
                <w:bCs/>
                <w:sz w:val="20"/>
                <w:szCs w:val="20"/>
              </w:rPr>
              <w:t>0.018</w:t>
            </w:r>
          </w:p>
        </w:tc>
      </w:tr>
    </w:tbl>
    <w:p w14:paraId="7AD48EF0" w14:textId="77777777" w:rsidR="00E479D0" w:rsidRDefault="00E479D0">
      <w:pPr>
        <w:spacing w:after="300"/>
      </w:pPr>
    </w:p>
    <w:p w14:paraId="477C9781" w14:textId="77777777" w:rsidR="00E479D0" w:rsidRDefault="00AE7DDF">
      <w:pPr>
        <w:spacing w:after="200"/>
      </w:pPr>
      <w:r>
        <w:t>A second, less clinically recognized phase emerged after antibiotic cessation. Among 46-58 sample pairs spanning the transition from on- to off-antibiotics, Enterobacteriaceae abundance increased significantly from 27.7% to 37.5% (+9.7%, p=0.036). Meanwhile, obligate anaerobes—which normally provide colonization resistance against pathogens—remained depleted (13.4% to 14.6%, p=0.99). Enterococcus declined after antibiotics stopped (-7.9%, p=0.035), consistent with loss of its selective advantage.</w:t>
      </w:r>
    </w:p>
    <w:p w14:paraId="11CD15B2" w14:textId="77777777" w:rsidR="00E479D0" w:rsidRDefault="00AE7DDF">
      <w:pPr>
        <w:spacing w:before="200" w:after="100"/>
      </w:pPr>
      <w:r>
        <w:rPr>
          <w:b/>
          <w:bCs/>
          <w:sz w:val="22"/>
          <w:szCs w:val="22"/>
        </w:rPr>
        <w:t>Table 2. Microbiome Changes After Antibiotic Cessation (n=46-58 paired samples)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2"/>
        <w:gridCol w:w="1320"/>
        <w:gridCol w:w="1320"/>
        <w:gridCol w:w="1381"/>
        <w:gridCol w:w="1403"/>
        <w:gridCol w:w="1340"/>
      </w:tblGrid>
      <w:tr w:rsidR="00E479D0" w14:paraId="2D8C98F2" w14:textId="77777777">
        <w:tblPrEx>
          <w:tblCellMar>
            <w:top w:w="0" w:type="dxa"/>
            <w:bottom w:w="0" w:type="dxa"/>
          </w:tblCellMar>
        </w:tblPrEx>
        <w:trPr>
          <w:tblHeader/>
        </w:trPr>
        <w:tc>
          <w:tcPr>
            <w:tcW w:w="2400" w:type="dxa"/>
            <w:tcBorders>
              <w:bottom w:val="single" w:sz="1" w:space="0" w:color="auto"/>
            </w:tcBorders>
            <w:shd w:val="clear" w:color="auto" w:fill="E8E8E8"/>
          </w:tcPr>
          <w:p w14:paraId="03C5FB60" w14:textId="77777777" w:rsidR="00E479D0" w:rsidRDefault="00AE7DDF">
            <w:r>
              <w:rPr>
                <w:b/>
                <w:bCs/>
                <w:sz w:val="20"/>
                <w:szCs w:val="20"/>
              </w:rPr>
              <w:t>Functional Group</w:t>
            </w:r>
          </w:p>
        </w:tc>
        <w:tc>
          <w:tcPr>
            <w:tcW w:w="1560" w:type="dxa"/>
            <w:tcBorders>
              <w:bottom w:val="single" w:sz="1" w:space="0" w:color="auto"/>
            </w:tcBorders>
            <w:shd w:val="clear" w:color="auto" w:fill="E8E8E8"/>
          </w:tcPr>
          <w:p w14:paraId="5D493DB5" w14:textId="77777777" w:rsidR="00E479D0" w:rsidRDefault="00AE7DDF">
            <w:pPr>
              <w:jc w:val="center"/>
            </w:pPr>
            <w:r>
              <w:rPr>
                <w:b/>
                <w:bCs/>
                <w:sz w:val="20"/>
                <w:szCs w:val="20"/>
              </w:rPr>
              <w:t>On Abx (%)</w:t>
            </w:r>
          </w:p>
        </w:tc>
        <w:tc>
          <w:tcPr>
            <w:tcW w:w="1560" w:type="dxa"/>
            <w:tcBorders>
              <w:bottom w:val="single" w:sz="1" w:space="0" w:color="auto"/>
            </w:tcBorders>
            <w:shd w:val="clear" w:color="auto" w:fill="E8E8E8"/>
          </w:tcPr>
          <w:p w14:paraId="5DD12C8F" w14:textId="77777777" w:rsidR="00E479D0" w:rsidRDefault="00AE7DDF">
            <w:pPr>
              <w:jc w:val="center"/>
            </w:pPr>
            <w:r>
              <w:rPr>
                <w:b/>
                <w:bCs/>
                <w:sz w:val="20"/>
                <w:szCs w:val="20"/>
              </w:rPr>
              <w:t>Off Abx (%)</w:t>
            </w:r>
          </w:p>
        </w:tc>
        <w:tc>
          <w:tcPr>
            <w:tcW w:w="1560" w:type="dxa"/>
            <w:tcBorders>
              <w:bottom w:val="single" w:sz="1" w:space="0" w:color="auto"/>
            </w:tcBorders>
            <w:shd w:val="clear" w:color="auto" w:fill="E8E8E8"/>
          </w:tcPr>
          <w:p w14:paraId="3CA741B1" w14:textId="77777777" w:rsidR="00E479D0" w:rsidRDefault="00AE7DDF">
            <w:pPr>
              <w:jc w:val="center"/>
            </w:pPr>
            <w:r>
              <w:rPr>
                <w:b/>
                <w:bCs/>
                <w:sz w:val="20"/>
                <w:szCs w:val="20"/>
              </w:rPr>
              <w:t>Change</w:t>
            </w:r>
          </w:p>
        </w:tc>
        <w:tc>
          <w:tcPr>
            <w:tcW w:w="1560" w:type="dxa"/>
            <w:tcBorders>
              <w:bottom w:val="single" w:sz="1" w:space="0" w:color="auto"/>
            </w:tcBorders>
            <w:shd w:val="clear" w:color="auto" w:fill="E8E8E8"/>
          </w:tcPr>
          <w:p w14:paraId="778FF1AC" w14:textId="77777777" w:rsidR="00E479D0" w:rsidRDefault="00AE7DDF">
            <w:pPr>
              <w:jc w:val="center"/>
            </w:pPr>
            <w:r>
              <w:rPr>
                <w:b/>
                <w:bCs/>
                <w:sz w:val="20"/>
                <w:szCs w:val="20"/>
              </w:rPr>
              <w:t>Rate/day</w:t>
            </w:r>
          </w:p>
        </w:tc>
        <w:tc>
          <w:tcPr>
            <w:tcW w:w="1560" w:type="dxa"/>
            <w:tcBorders>
              <w:bottom w:val="single" w:sz="1" w:space="0" w:color="auto"/>
            </w:tcBorders>
            <w:shd w:val="clear" w:color="auto" w:fill="E8E8E8"/>
          </w:tcPr>
          <w:p w14:paraId="68375389" w14:textId="77777777" w:rsidR="00E479D0" w:rsidRDefault="00AE7DDF">
            <w:pPr>
              <w:jc w:val="center"/>
            </w:pPr>
            <w:r>
              <w:rPr>
                <w:b/>
                <w:bCs/>
                <w:sz w:val="20"/>
                <w:szCs w:val="20"/>
              </w:rPr>
              <w:t>P-value</w:t>
            </w:r>
          </w:p>
        </w:tc>
      </w:tr>
      <w:tr w:rsidR="00E479D0" w14:paraId="29F8D2E8" w14:textId="77777777">
        <w:tblPrEx>
          <w:tblCellMar>
            <w:top w:w="0" w:type="dxa"/>
            <w:bottom w:w="0" w:type="dxa"/>
          </w:tblCellMar>
        </w:tblPrEx>
        <w:tc>
          <w:tcPr>
            <w:tcW w:w="2400" w:type="dxa"/>
          </w:tcPr>
          <w:p w14:paraId="05D43E28" w14:textId="77777777" w:rsidR="00E479D0" w:rsidRDefault="00AE7DDF">
            <w:r>
              <w:rPr>
                <w:sz w:val="20"/>
                <w:szCs w:val="20"/>
              </w:rPr>
              <w:t>Obligate Anaerobes</w:t>
            </w:r>
          </w:p>
        </w:tc>
        <w:tc>
          <w:tcPr>
            <w:tcW w:w="1560" w:type="dxa"/>
          </w:tcPr>
          <w:p w14:paraId="3A612786" w14:textId="77777777" w:rsidR="00E479D0" w:rsidRDefault="00AE7DDF">
            <w:pPr>
              <w:jc w:val="center"/>
            </w:pPr>
            <w:r>
              <w:rPr>
                <w:sz w:val="20"/>
                <w:szCs w:val="20"/>
              </w:rPr>
              <w:t>13.4</w:t>
            </w:r>
          </w:p>
        </w:tc>
        <w:tc>
          <w:tcPr>
            <w:tcW w:w="1560" w:type="dxa"/>
          </w:tcPr>
          <w:p w14:paraId="3C3612DA" w14:textId="77777777" w:rsidR="00E479D0" w:rsidRDefault="00AE7DDF">
            <w:pPr>
              <w:jc w:val="center"/>
            </w:pPr>
            <w:r>
              <w:rPr>
                <w:sz w:val="20"/>
                <w:szCs w:val="20"/>
              </w:rPr>
              <w:t>14.6</w:t>
            </w:r>
          </w:p>
        </w:tc>
        <w:tc>
          <w:tcPr>
            <w:tcW w:w="1560" w:type="dxa"/>
          </w:tcPr>
          <w:p w14:paraId="017E0081" w14:textId="77777777" w:rsidR="00E479D0" w:rsidRDefault="00AE7DDF">
            <w:pPr>
              <w:jc w:val="center"/>
            </w:pPr>
            <w:r>
              <w:rPr>
                <w:sz w:val="20"/>
                <w:szCs w:val="20"/>
              </w:rPr>
              <w:t>+1.3</w:t>
            </w:r>
          </w:p>
        </w:tc>
        <w:tc>
          <w:tcPr>
            <w:tcW w:w="1560" w:type="dxa"/>
          </w:tcPr>
          <w:p w14:paraId="59E5F708" w14:textId="77777777" w:rsidR="00E479D0" w:rsidRDefault="00AE7DDF">
            <w:pPr>
              <w:jc w:val="center"/>
            </w:pPr>
            <w:r>
              <w:rPr>
                <w:sz w:val="20"/>
                <w:szCs w:val="20"/>
              </w:rPr>
              <w:t>+0.001</w:t>
            </w:r>
          </w:p>
        </w:tc>
        <w:tc>
          <w:tcPr>
            <w:tcW w:w="1560" w:type="dxa"/>
          </w:tcPr>
          <w:p w14:paraId="6642C127" w14:textId="77777777" w:rsidR="00E479D0" w:rsidRDefault="00AE7DDF">
            <w:pPr>
              <w:jc w:val="center"/>
            </w:pPr>
            <w:r>
              <w:rPr>
                <w:sz w:val="20"/>
                <w:szCs w:val="20"/>
              </w:rPr>
              <w:t>0.99</w:t>
            </w:r>
          </w:p>
        </w:tc>
      </w:tr>
      <w:tr w:rsidR="00E479D0" w14:paraId="13B05077" w14:textId="77777777">
        <w:tblPrEx>
          <w:tblCellMar>
            <w:top w:w="0" w:type="dxa"/>
            <w:bottom w:w="0" w:type="dxa"/>
          </w:tblCellMar>
        </w:tblPrEx>
        <w:tc>
          <w:tcPr>
            <w:tcW w:w="2400" w:type="dxa"/>
          </w:tcPr>
          <w:p w14:paraId="49BFCAAC" w14:textId="77777777" w:rsidR="00E479D0" w:rsidRDefault="00AE7DDF">
            <w:r>
              <w:rPr>
                <w:b/>
                <w:bCs/>
                <w:sz w:val="20"/>
                <w:szCs w:val="20"/>
              </w:rPr>
              <w:t>Enterobacteriaceae</w:t>
            </w:r>
          </w:p>
        </w:tc>
        <w:tc>
          <w:tcPr>
            <w:tcW w:w="1560" w:type="dxa"/>
          </w:tcPr>
          <w:p w14:paraId="5DCF11C2" w14:textId="77777777" w:rsidR="00E479D0" w:rsidRDefault="00AE7DDF">
            <w:pPr>
              <w:jc w:val="center"/>
            </w:pPr>
            <w:r>
              <w:rPr>
                <w:b/>
                <w:bCs/>
                <w:sz w:val="20"/>
                <w:szCs w:val="20"/>
              </w:rPr>
              <w:t>27.7</w:t>
            </w:r>
          </w:p>
        </w:tc>
        <w:tc>
          <w:tcPr>
            <w:tcW w:w="1560" w:type="dxa"/>
          </w:tcPr>
          <w:p w14:paraId="6BE9212E" w14:textId="77777777" w:rsidR="00E479D0" w:rsidRDefault="00AE7DDF">
            <w:pPr>
              <w:jc w:val="center"/>
            </w:pPr>
            <w:r>
              <w:rPr>
                <w:b/>
                <w:bCs/>
                <w:sz w:val="20"/>
                <w:szCs w:val="20"/>
              </w:rPr>
              <w:t>37.5</w:t>
            </w:r>
          </w:p>
        </w:tc>
        <w:tc>
          <w:tcPr>
            <w:tcW w:w="1560" w:type="dxa"/>
          </w:tcPr>
          <w:p w14:paraId="69AADC84" w14:textId="77777777" w:rsidR="00E479D0" w:rsidRDefault="00AE7DDF">
            <w:pPr>
              <w:jc w:val="center"/>
            </w:pPr>
            <w:r>
              <w:rPr>
                <w:b/>
                <w:bCs/>
                <w:sz w:val="20"/>
                <w:szCs w:val="20"/>
              </w:rPr>
              <w:t>+9.7</w:t>
            </w:r>
          </w:p>
        </w:tc>
        <w:tc>
          <w:tcPr>
            <w:tcW w:w="1560" w:type="dxa"/>
          </w:tcPr>
          <w:p w14:paraId="5ADAA911" w14:textId="77777777" w:rsidR="00E479D0" w:rsidRDefault="00AE7DDF">
            <w:pPr>
              <w:jc w:val="center"/>
            </w:pPr>
            <w:r>
              <w:rPr>
                <w:b/>
                <w:bCs/>
                <w:sz w:val="20"/>
                <w:szCs w:val="20"/>
              </w:rPr>
              <w:t>+1.45</w:t>
            </w:r>
          </w:p>
        </w:tc>
        <w:tc>
          <w:tcPr>
            <w:tcW w:w="1560" w:type="dxa"/>
          </w:tcPr>
          <w:p w14:paraId="1194C759" w14:textId="77777777" w:rsidR="00E479D0" w:rsidRDefault="00AE7DDF">
            <w:pPr>
              <w:jc w:val="center"/>
            </w:pPr>
            <w:r>
              <w:rPr>
                <w:b/>
                <w:bCs/>
                <w:sz w:val="20"/>
                <w:szCs w:val="20"/>
              </w:rPr>
              <w:t>0.036</w:t>
            </w:r>
          </w:p>
        </w:tc>
      </w:tr>
      <w:tr w:rsidR="00E479D0" w14:paraId="7526AD36" w14:textId="77777777">
        <w:tblPrEx>
          <w:tblCellMar>
            <w:top w:w="0" w:type="dxa"/>
            <w:bottom w:w="0" w:type="dxa"/>
          </w:tblCellMar>
        </w:tblPrEx>
        <w:tc>
          <w:tcPr>
            <w:tcW w:w="2400" w:type="dxa"/>
            <w:tcBorders>
              <w:bottom w:val="single" w:sz="1" w:space="0" w:color="auto"/>
            </w:tcBorders>
          </w:tcPr>
          <w:p w14:paraId="6E0BA25F" w14:textId="77777777" w:rsidR="00E479D0" w:rsidRDefault="00AE7DDF">
            <w:r>
              <w:rPr>
                <w:sz w:val="20"/>
                <w:szCs w:val="20"/>
              </w:rPr>
              <w:t>Enterococcus</w:t>
            </w:r>
          </w:p>
        </w:tc>
        <w:tc>
          <w:tcPr>
            <w:tcW w:w="1560" w:type="dxa"/>
            <w:tcBorders>
              <w:bottom w:val="single" w:sz="1" w:space="0" w:color="auto"/>
            </w:tcBorders>
          </w:tcPr>
          <w:p w14:paraId="4F60F8BE" w14:textId="77777777" w:rsidR="00E479D0" w:rsidRDefault="00AE7DDF">
            <w:pPr>
              <w:jc w:val="center"/>
            </w:pPr>
            <w:r>
              <w:rPr>
                <w:sz w:val="20"/>
                <w:szCs w:val="20"/>
              </w:rPr>
              <w:t>18.1</w:t>
            </w:r>
          </w:p>
        </w:tc>
        <w:tc>
          <w:tcPr>
            <w:tcW w:w="1560" w:type="dxa"/>
            <w:tcBorders>
              <w:bottom w:val="single" w:sz="1" w:space="0" w:color="auto"/>
            </w:tcBorders>
          </w:tcPr>
          <w:p w14:paraId="56336FF5" w14:textId="77777777" w:rsidR="00E479D0" w:rsidRDefault="00AE7DDF">
            <w:pPr>
              <w:jc w:val="center"/>
            </w:pPr>
            <w:r>
              <w:rPr>
                <w:sz w:val="20"/>
                <w:szCs w:val="20"/>
              </w:rPr>
              <w:t>10.2</w:t>
            </w:r>
          </w:p>
        </w:tc>
        <w:tc>
          <w:tcPr>
            <w:tcW w:w="1560" w:type="dxa"/>
            <w:tcBorders>
              <w:bottom w:val="single" w:sz="1" w:space="0" w:color="auto"/>
            </w:tcBorders>
          </w:tcPr>
          <w:p w14:paraId="0E5AE92B" w14:textId="77777777" w:rsidR="00E479D0" w:rsidRDefault="00AE7DDF">
            <w:pPr>
              <w:jc w:val="center"/>
            </w:pPr>
            <w:r>
              <w:rPr>
                <w:sz w:val="20"/>
                <w:szCs w:val="20"/>
              </w:rPr>
              <w:t>-7.9</w:t>
            </w:r>
          </w:p>
        </w:tc>
        <w:tc>
          <w:tcPr>
            <w:tcW w:w="1560" w:type="dxa"/>
            <w:tcBorders>
              <w:bottom w:val="single" w:sz="1" w:space="0" w:color="auto"/>
            </w:tcBorders>
          </w:tcPr>
          <w:p w14:paraId="50AFBDF5" w14:textId="77777777" w:rsidR="00E479D0" w:rsidRDefault="00AE7DDF">
            <w:pPr>
              <w:jc w:val="center"/>
            </w:pPr>
            <w:r>
              <w:rPr>
                <w:sz w:val="20"/>
                <w:szCs w:val="20"/>
              </w:rPr>
              <w:t>-1.09</w:t>
            </w:r>
          </w:p>
        </w:tc>
        <w:tc>
          <w:tcPr>
            <w:tcW w:w="1560" w:type="dxa"/>
            <w:tcBorders>
              <w:bottom w:val="single" w:sz="1" w:space="0" w:color="auto"/>
            </w:tcBorders>
          </w:tcPr>
          <w:p w14:paraId="011747B5" w14:textId="77777777" w:rsidR="00E479D0" w:rsidRDefault="00AE7DDF">
            <w:pPr>
              <w:jc w:val="center"/>
            </w:pPr>
            <w:r>
              <w:rPr>
                <w:sz w:val="20"/>
                <w:szCs w:val="20"/>
              </w:rPr>
              <w:t>0.035</w:t>
            </w:r>
          </w:p>
        </w:tc>
      </w:tr>
    </w:tbl>
    <w:p w14:paraId="67CFF53D" w14:textId="77777777" w:rsidR="00E479D0" w:rsidRDefault="00E479D0">
      <w:pPr>
        <w:spacing w:after="300"/>
      </w:pPr>
    </w:p>
    <w:p w14:paraId="30001DDF" w14:textId="77777777" w:rsidR="00E479D0" w:rsidRDefault="00AE7DDF">
      <w:pPr>
        <w:spacing w:after="200"/>
      </w:pPr>
      <w:r>
        <w:t>This pattern suggests two sequential windows of infection vulnerability: Enterococcus (including VRE) risk during active antibiotic therapy, followed by Enterobacteriaceae risk in the days after antibiotics are stopped. The post-antibiotic window is particularly concerning because it occurs precisely when clinicians may perceive patients as improving—antibiotics have been stopped, often because clinical status has stabilized—yet the microbiome remains in a vulnerable state with pathogen dominance and deplet</w:t>
      </w:r>
      <w:r>
        <w:t>ed colonization resistance.</w:t>
      </w:r>
    </w:p>
    <w:p w14:paraId="0F86BF65" w14:textId="77777777" w:rsidR="00E479D0" w:rsidRDefault="00AE7DDF">
      <w:pPr>
        <w:spacing w:after="200"/>
      </w:pPr>
      <w:r>
        <w:t xml:space="preserve">Recognition of this post-antibiotic window of vulnerability could inform clinical vigilance and prevention strategies. Patients who have recently completed antibiotic courses, particularly those who remain hospitalized with central lines or gut barrier compromise, may warrant continued monitoring for signs of infection even after antibiotics have been stopped. New fever developing in this window might appropriately prompt evaluation for </w:t>
      </w:r>
      <w:r>
        <w:lastRenderedPageBreak/>
        <w:t>Enterobacteriaceae bacteremia rather than assuming clinical stability because antibiotics have been completed.</w:t>
      </w:r>
    </w:p>
    <w:p w14:paraId="3F692ED4" w14:textId="77777777" w:rsidR="00E479D0" w:rsidRDefault="00AE7DDF">
      <w:pPr>
        <w:spacing w:after="200"/>
      </w:pPr>
      <w:r>
        <w:t>The two-phase pattern we observed also has implications for understanding the epidemiology of healthcare-associated infections. VRE bacteremia during antibiotic therapy and Gram-negative bacteremia after antibiotic completion may represent mechanistically distinct phenomena, each requiring different prevention strategies. Infection prevention programs that track organism-specific BSI rates might benefit from stratifying by timing relative to antibiotic exposure.</w:t>
      </w:r>
    </w:p>
    <w:p w14:paraId="41364A24" w14:textId="77777777" w:rsidR="00E479D0" w:rsidRDefault="00AE7DDF">
      <w:pPr>
        <w:pStyle w:val="Heading2"/>
      </w:pPr>
      <w:r>
        <w:t>Pathogenic Enterobacteriaceae Dominate the Post-Antibiotic Gut</w:t>
      </w:r>
    </w:p>
    <w:p w14:paraId="5AC719B9" w14:textId="77777777" w:rsidR="00E479D0" w:rsidRDefault="00AE7DDF">
      <w:pPr>
        <w:spacing w:after="200"/>
      </w:pPr>
      <w:r>
        <w:t>Unbiased species-level ranking confirmed that clinically important pathogens are enriched among the fastest-recovering organisms after antibiotic cessation. Among 2,496 species present in at least 20% of recovery sample pairs, pathogenic Enterobacteriaceae had the highest mean recovery rate (+0.078%/day) and clustered at the top of the ranking (mean rank 666). The top 10 fastest-recovering species included Klebsiella pneumoniae (rank 1), Klebsiella aerogenes (rank 5), and Citrobacter freundii (rank 10)—orga</w:t>
      </w:r>
      <w:r>
        <w:t>nisms frequently isolated from healthcare-associated BSI.</w:t>
      </w:r>
    </w:p>
    <w:p w14:paraId="2332B576" w14:textId="77777777" w:rsidR="00E479D0" w:rsidRDefault="00AE7DDF">
      <w:pPr>
        <w:spacing w:after="200"/>
      </w:pPr>
      <w:r>
        <w:t>In contrast, obligate anaerobes that normally provide colonization resistance had near-zero recovery rates (+0.0016%/day, mean rank 1,083), remaining depleted long after antibiotics were stopped. The difference between pathogenic Enterobacteriaceae and obligate anaerobes was 49-fold (p=0.045). This asymmetry creates a window where Enterobacteriaceae dominate an otherwise depleted microbiome—the precise conditions that favor translocation and BSI.</w:t>
      </w:r>
    </w:p>
    <w:p w14:paraId="6B682EE1" w14:textId="77777777" w:rsidR="00E479D0" w:rsidRDefault="00AE7DDF">
      <w:pPr>
        <w:pStyle w:val="Heading2"/>
      </w:pPr>
      <w:r>
        <w:t>No Evidence of Resistance Selection</w:t>
      </w:r>
    </w:p>
    <w:p w14:paraId="16DB64BA" w14:textId="77777777" w:rsidR="00E479D0" w:rsidRDefault="00AE7DDF">
      <w:pPr>
        <w:spacing w:after="200"/>
      </w:pPr>
      <w:r>
        <w:t>If antibiotic resistance were driving post-antibiotic pathogen dominance, we would expect within-patient enrichment of antibiotic resistance genes following antibiotic exposure. Cross-sectional analysis identified 213 robust ARG-antibiotic associations, suggesting ARG carriage is correlated with antibiotic exposure at the population level.</w:t>
      </w:r>
    </w:p>
    <w:p w14:paraId="79B3F820" w14:textId="77777777" w:rsidR="00E479D0" w:rsidRDefault="00AE7DDF">
      <w:pPr>
        <w:spacing w:after="200"/>
      </w:pPr>
      <w:r>
        <w:t>However, paired within-patient analysis revealed a strikingly different picture. Of 90 ARG-antibiotic comparisons, only 1 reached statistical significance (TMP-SMX associated with decreased ARG diversity, p=0.047). No other antibiotic showed significant within-patient ARG selection. ARG richness, diversity, and specific resistance class abundances remained unchanged following exposure to meropenem, cefepime, piperacillin-tazobactam, and other commonly used broad-spectrum agents.</w:t>
      </w:r>
    </w:p>
    <w:p w14:paraId="0842EB8C" w14:textId="77777777" w:rsidR="00E479D0" w:rsidRDefault="00AE7DDF">
      <w:pPr>
        <w:spacing w:after="200"/>
      </w:pPr>
      <w:r>
        <w:t>This disconnect between cross-sectional and paired analyses is informative: cross-sectional ARG associations likely reflect confounding (sicker patients receive more antibiotics and carry more ARGs), not causal selection. The absence of within-patient ARG enrichment, combined with the susceptibility of BSI isolates to prior antibiotics, indicates that resistance selection is not the primary driver of post-antibiotic infection in this cohort.</w:t>
      </w:r>
    </w:p>
    <w:p w14:paraId="0A532085" w14:textId="77777777" w:rsidR="00E479D0" w:rsidRDefault="00AE7DDF">
      <w:pPr>
        <w:pStyle w:val="Heading2"/>
      </w:pPr>
      <w:r>
        <w:lastRenderedPageBreak/>
        <w:t>Findings Are Consistent Across Patient Populations</w:t>
      </w:r>
    </w:p>
    <w:p w14:paraId="32134CCF" w14:textId="77777777" w:rsidR="00E479D0" w:rsidRDefault="00AE7DDF">
      <w:pPr>
        <w:spacing w:after="200"/>
      </w:pPr>
      <w:r>
        <w:t>Stratified analyses confirmed that these patterns were not driven by any single patient population. The direction and magnitude of Enterobacteriaceae expansion after antibiotic cessation was consistent across BMT (+0.44%/day, p=0.027), liver transplant (+0.22%/day, p=0.109), and other groups. ANOVA testing showed no significant heterogeneity across patient groups for any functional category (all p&gt;0.30). Leave-one-out sensitivity analysis confirmed robustness to exclusion of any single population.</w:t>
      </w:r>
    </w:p>
    <w:p w14:paraId="29766769" w14:textId="77777777" w:rsidR="00E479D0" w:rsidRDefault="00AE7DDF">
      <w:pPr>
        <w:pStyle w:val="Heading1"/>
      </w:pPr>
      <w:r>
        <w:t>Discussion</w:t>
      </w:r>
    </w:p>
    <w:p w14:paraId="3E69E230" w14:textId="77777777" w:rsidR="00E479D0" w:rsidRDefault="00AE7DDF">
      <w:pPr>
        <w:spacing w:after="200"/>
      </w:pPr>
      <w:r>
        <w:t>Our findings challenge the prevailing view that antibiotic-associated infections result primarily from resistance selection. The clinical paradox we observed—BSI caused by organisms susceptible to antibiotics patients had received—indicates that susceptible pathogens, not resistant ones, dominate the post-antibiotic gut and cause infection. This has substantial implications for infection prevention strategies in hospitalized patients.</w:t>
      </w:r>
    </w:p>
    <w:p w14:paraId="7F172A5E" w14:textId="77777777" w:rsidR="00E479D0" w:rsidRDefault="00AE7DDF">
      <w:pPr>
        <w:pStyle w:val="Heading2"/>
      </w:pPr>
      <w:r>
        <w:t>Reframing Antibiotic-Associated Infection Risk</w:t>
      </w:r>
    </w:p>
    <w:p w14:paraId="36C15DAC" w14:textId="77777777" w:rsidR="00E479D0" w:rsidRDefault="00AE7DDF">
      <w:pPr>
        <w:spacing w:after="200"/>
      </w:pPr>
      <w:r>
        <w:t>The conventional narrative holds that antibiotics select for resistant organisms that then cause infection. Our data support an alternative model: antibiotics disrupt the protective microbiome, and susceptible pathogens rapidly fill the resulting niche when antibiotic pressure is removed. BSI risk is determined not by pathogen resistance but by loss of colonization resistance and the resulting pathogen dominance.</w:t>
      </w:r>
    </w:p>
    <w:p w14:paraId="33335D56" w14:textId="77777777" w:rsidR="00E479D0" w:rsidRDefault="00AE7DDF">
      <w:pPr>
        <w:spacing w:after="200"/>
      </w:pPr>
      <w:r>
        <w:t>This reframing has important implications. Under the resistance-selection model, prevention efforts focus on minimizing resistance emergence through appropriate antibiotic selection and duration. Under the colonization-resistance model, prevention should focus on protecting or restoring the microbiome, regardless of pathogen resistance phenotype. Both models support judicious antibiotic use, but for different reasons and with different intervention targets.</w:t>
      </w:r>
    </w:p>
    <w:p w14:paraId="54907B84" w14:textId="77777777" w:rsidR="00E479D0" w:rsidRDefault="00AE7DDF">
      <w:pPr>
        <w:pStyle w:val="Heading2"/>
      </w:pPr>
      <w:r>
        <w:t>Two Windows of Infection Vulnerability</w:t>
      </w:r>
    </w:p>
    <w:p w14:paraId="45DF5789" w14:textId="77777777" w:rsidR="00E479D0" w:rsidRDefault="00AE7DDF">
      <w:pPr>
        <w:spacing w:after="200"/>
      </w:pPr>
      <w:r>
        <w:t>Our data reveal two sequential periods of heightened infection risk related to antibiotic exposure. During active antibiotic therapy, Enterococcus expands significantly. This corresponds to the well-recognized clinical phenomenon of VRE colonization and infection during broad-spectrum antibiotic treatment. Infection prevention during this window focuses on appropriate empiric coverage for Enterococcus in patients developing fever on antibiotics, and on de-escalation strategies to limit the duration of Enter</w:t>
      </w:r>
      <w:r>
        <w:t>ococcus-selecting agents.</w:t>
      </w:r>
    </w:p>
    <w:p w14:paraId="242E01C8" w14:textId="77777777" w:rsidR="00E479D0" w:rsidRDefault="00AE7DDF">
      <w:pPr>
        <w:spacing w:after="200"/>
      </w:pPr>
      <w:r>
        <w:t>The second window—the post-antibiotic period—is less clinically recognized but may be equally important. After antibiotics are stopped, Enterobacteriaceae rapidly rebound to dominant abundance while protective anaerobes remain depleted. This creates ideal conditions for gut translocation of Gram-negative pathogens. Patients in this window may appear to be improving clinically, as antibiotics have been stopped, yet remain at elevated BSI risk for days to weeks.</w:t>
      </w:r>
    </w:p>
    <w:p w14:paraId="1407156C" w14:textId="77777777" w:rsidR="00E479D0" w:rsidRDefault="00AE7DDF">
      <w:pPr>
        <w:spacing w:after="200"/>
      </w:pPr>
      <w:r>
        <w:lastRenderedPageBreak/>
        <w:t>Recognition of this post-antibiotic window of vulnerability could inform clinical vigilance. Patients who have recently completed antibiotic courses, particularly those who remain hospitalized with central lines or gut barrier compromise, may warrant continued monitoring for signs of infection even after antibiotics have been stopped. New fever developing in this window might appropriately prompt evaluation for Enterobacteriaceae bacteremia.</w:t>
      </w:r>
    </w:p>
    <w:p w14:paraId="6ECD99D0" w14:textId="77777777" w:rsidR="00E479D0" w:rsidRDefault="00AE7DDF">
      <w:pPr>
        <w:pStyle w:val="Heading2"/>
      </w:pPr>
      <w:r>
        <w:t>Implications for Empiric Antimicrobial Selection</w:t>
      </w:r>
    </w:p>
    <w:p w14:paraId="6092A8A3" w14:textId="77777777" w:rsidR="00E479D0" w:rsidRDefault="00AE7DDF">
      <w:pPr>
        <w:spacing w:after="200"/>
      </w:pPr>
      <w:r>
        <w:t>These findings suggest that optimal empiric antimicrobial coverage may depend on timing relative to antibiotic exposure, a factor not typically considered in current guidelines. Most empiric regimens are informed by local epidemiology, patient risk factors, and prior culture data, but do not systematically account for the temporal dynamics of post-antibiotic microbiome changes.</w:t>
      </w:r>
    </w:p>
    <w:p w14:paraId="755C5A97" w14:textId="77777777" w:rsidR="00E479D0" w:rsidRDefault="00AE7DDF">
      <w:pPr>
        <w:spacing w:after="200"/>
      </w:pPr>
      <w:r>
        <w:t>Patients developing fever during active antibiotic therapy should receive coverage for Enterococcus, including VRE in institutions with significant VRE prevalence. Our data confirm the well-established pattern of Enterococcus expansion during broad-spectrum antibiotic therapy. Empiric addition of agents active against VRE (linezolid, daptomycin) in high-risk neutropenic patients developing breakthrough fever on antibiotics is supported by this pattern.</w:t>
      </w:r>
    </w:p>
    <w:p w14:paraId="730C49D7" w14:textId="77777777" w:rsidR="00E479D0" w:rsidRDefault="00AE7DDF">
      <w:pPr>
        <w:spacing w:after="200"/>
      </w:pPr>
      <w:r>
        <w:t>Patients developing fever in the early post-antibiotic window (days 1-14 after cessation) may be at higher risk for Enterobacteriaceae BSI and should receive appropriate Gram-negative coverage. Our model predicts that BSI organism identity shifts from Enterococcus to Enterobacteriaceae as time from antibiotic cessation increases. Clinicians evaluating new fever in recently hospitalized patients who completed antibiotics days earlier might appropriately weight their differential toward Gram-negative pathogen</w:t>
      </w:r>
      <w:r>
        <w:t>s.</w:t>
      </w:r>
    </w:p>
    <w:p w14:paraId="3979A807" w14:textId="77777777" w:rsidR="00E479D0" w:rsidRDefault="00AE7DDF">
      <w:pPr>
        <w:spacing w:after="200"/>
      </w:pPr>
      <w:r>
        <w:t>Importantly, our finding that BSI isolates were susceptible to prior antibiotics suggests that recurrent exposure to the same antibiotic class may be appropriate in some circumstances. Consider a patient who received meropenem for presumed sepsis, improved, and completed therapy, then develops new fever 5 days later. Under the resistance-selection model, one might avoid meropenem assuming that surviving organisms are likely meropenem-resistant. Our data suggest the opposite: the Enterobacteriaceae now domin</w:t>
      </w:r>
      <w:r>
        <w:t>ating the gut are likely susceptible to meropenem, having rebounded after meropenem was stopped. Empiric re-use of meropenem may be entirely appropriate.</w:t>
      </w:r>
    </w:p>
    <w:p w14:paraId="0B2FF62E" w14:textId="77777777" w:rsidR="00E479D0" w:rsidRDefault="00AE7DDF">
      <w:pPr>
        <w:spacing w:after="200"/>
      </w:pPr>
      <w:r>
        <w:t>This has practical implications for antibiotic cycling and restriction policies. Some institutions restrict repeat use of specific agents based on the assumption that resistance will have been selected. Our findings suggest this assumption may be incorrect for short-term exposures, though longer durations and repeated courses require further study.</w:t>
      </w:r>
    </w:p>
    <w:p w14:paraId="4A03E9D3" w14:textId="77777777" w:rsidR="00E479D0" w:rsidRDefault="00AE7DDF">
      <w:pPr>
        <w:pStyle w:val="Heading2"/>
      </w:pPr>
      <w:r>
        <w:t>Opportunities for Prevention</w:t>
      </w:r>
    </w:p>
    <w:p w14:paraId="132E1673" w14:textId="77777777" w:rsidR="00E479D0" w:rsidRDefault="00AE7DDF">
      <w:pPr>
        <w:spacing w:after="200"/>
      </w:pPr>
      <w:r>
        <w:t xml:space="preserve">The identification of a post-antibiotic window of vulnerability opens several avenues for prevention that have not been systematically pursued. Unlike resistance-focused </w:t>
      </w:r>
      <w:r>
        <w:lastRenderedPageBreak/>
        <w:t>interventions, which operate during antibiotic exposure, these strategies target the recovery period when standard clinical vigilance may be reduced.</w:t>
      </w:r>
    </w:p>
    <w:p w14:paraId="6A20089A" w14:textId="77777777" w:rsidR="00E479D0" w:rsidRDefault="00AE7DDF">
      <w:pPr>
        <w:spacing w:after="200"/>
      </w:pPr>
      <w:r>
        <w:t>The post-antibiotic window represents a potential target for intervention. If pathogen dominance during this period drives infection risk, strategies that accelerate microbiome recovery or prevent pathogen expansion could reduce BSI rates.</w:t>
      </w:r>
    </w:p>
    <w:p w14:paraId="69F6D914" w14:textId="77777777" w:rsidR="00E479D0" w:rsidRDefault="00AE7DDF">
      <w:pPr>
        <w:spacing w:after="200"/>
      </w:pPr>
      <w:r>
        <w:t xml:space="preserve">Probiotics and live biotherapeutic products could potentially accelerate restoration of colonization resistance. However, timing may be critical: administration during active antibiotic therapy is likely futile if the administered organisms are killed by ongoing antimicrobials. Administration in the early post-antibiotic window, when protective niches are available but not yet occupied by pathogens, may be more effective. Clinical trials of probiotics have shown mixed results; our data suggest that failure </w:t>
      </w:r>
      <w:r>
        <w:t>to account for timing relative to antibiotic exposure may explain some of this heterogeneity. Future trials should consider stratifying by timing of probiotic administration relative to antibiotic cessation.</w:t>
      </w:r>
    </w:p>
    <w:p w14:paraId="3DF2CC00" w14:textId="77777777" w:rsidR="00E479D0" w:rsidRDefault="00AE7DDF">
      <w:pPr>
        <w:spacing w:after="200"/>
      </w:pPr>
      <w:r>
        <w:t>Fecal microbiota transplantation (FMT) has shown efficacy in preventing recurrent Clostridioides difficile infection and is being studied for other indications including multidrug-resistant organism decolonization. The post-antibiotic window of Enterobacteriaceae dominance could represent a logical target for FMT or defined microbial consortia aimed at restoring colonization resistance before translocation occurs. Studies of FMT timing relative to antibiotic completion could inform optimal protocols.</w:t>
      </w:r>
    </w:p>
    <w:p w14:paraId="2688FFE2" w14:textId="77777777" w:rsidR="00E479D0" w:rsidRDefault="00AE7DDF">
      <w:pPr>
        <w:spacing w:after="200"/>
      </w:pPr>
      <w:r>
        <w:t>Selective decontamination of the digestive tract (SDD), which uses non-absorbable antibiotics to suppress Gram-negative gut colonization, has shown efficacy in reducing ICU infections in some settings, though concerns about resistance selection have limited its adoption. Our findings provide nuanced context for this approach: if post-antibiotic Enterobacteriaceae dominance drives BSI risk, targeted suppression during the vulnerable window could be protective. The observation that short-term antibiotic expos</w:t>
      </w:r>
      <w:r>
        <w:t>ure does not significantly select for ARGs within individuals suggests that concerns about SDD-driven resistance may be overstated, though this requires further study.</w:t>
      </w:r>
    </w:p>
    <w:p w14:paraId="70CD3972" w14:textId="77777777" w:rsidR="00E479D0" w:rsidRDefault="00AE7DDF">
      <w:pPr>
        <w:spacing w:after="200"/>
      </w:pPr>
      <w:r>
        <w:t>Enhanced infection surveillance during the post-antibiotic period represents a low-cost intervention that could be implemented immediately. Patients completing antibiotic courses while remaining hospitalized with central lines or immunocompromise might benefit from increased vigilance for signs of infection in the first 1-2 weeks after antibiotic cessation. Clinical decision support tools could alert providers when patients enter this high-risk window.</w:t>
      </w:r>
    </w:p>
    <w:p w14:paraId="0C21BB09" w14:textId="77777777" w:rsidR="00E479D0" w:rsidRDefault="00AE7DDF">
      <w:pPr>
        <w:pStyle w:val="Heading2"/>
      </w:pPr>
      <w:r>
        <w:t>Implications for Antimicrobial Stewardship</w:t>
      </w:r>
    </w:p>
    <w:p w14:paraId="0510FC0D" w14:textId="77777777" w:rsidR="00E479D0" w:rsidRDefault="00AE7DDF">
      <w:pPr>
        <w:spacing w:after="200"/>
      </w:pPr>
      <w:r>
        <w:t>Antimicrobial stewardship programs have historically emphasized resistance prevention as a primary justification for limiting antibiotic use. Metrics such as days of therapy (DOT), standardized antimicrobial administration ratios, and rates of resistant organism isolation are commonly used to assess stewardship impact. Our data suggest that these metrics, while important, may not capture the full benefit of stewardship interventions.</w:t>
      </w:r>
    </w:p>
    <w:p w14:paraId="77A21F8A" w14:textId="77777777" w:rsidR="00E479D0" w:rsidRDefault="00AE7DDF">
      <w:pPr>
        <w:spacing w:after="200"/>
      </w:pPr>
      <w:r>
        <w:lastRenderedPageBreak/>
        <w:t>From a colonization-resistance perspective, reducing antibiotic exposure decreases the severity and duration of microbiome disruption, potentially lowering infection risk independently of any effect on resistance. Stewardship interventions focused on shorter durations, narrower spectra, and prompt de-escalation reduce not only resistance pressure but also preserve the protective microbiome. Stopping antibiotics early may be as important as choosing the right antibiotic—both interventions preserve or restore</w:t>
      </w:r>
      <w:r>
        <w:t xml:space="preserve"> colonization resistance.</w:t>
      </w:r>
    </w:p>
    <w:p w14:paraId="21A0E067" w14:textId="77777777" w:rsidR="00E479D0" w:rsidRDefault="00AE7DDF">
      <w:pPr>
        <w:spacing w:after="200"/>
      </w:pPr>
      <w:r>
        <w:t>This perspective provides additional justification for stewardship interventions that might be questioned under a purely resistance-focused model. For example, de-escalation from broad-spectrum to narrow-spectrum therapy based on culture results reduces anti-anaerobic collateral damage even if it does not reduce resistance selection. Similarly, duration-focused interventions (such as procalcitonin-guided antibiotic cessation) may prevent prolonged microbiome disruption even when resistance impact is uncerta</w:t>
      </w:r>
      <w:r>
        <w:t>in.</w:t>
      </w:r>
    </w:p>
    <w:p w14:paraId="33CD9F38" w14:textId="77777777" w:rsidR="00E479D0" w:rsidRDefault="00AE7DDF">
      <w:pPr>
        <w:spacing w:after="200"/>
      </w:pPr>
      <w:r>
        <w:t>Our finding that ARGs are markers of antibiotic-exposed patients rather than mediators of infection risk has implications for resistance surveillance and stewardship assessment. Cross-sectional correlations between antibiotic use and ARG carriage should be interpreted cautiously, as they may reflect confounding rather than causal selection. Patients who receive more antibiotics are sicker, more heavily healthcare-exposed, and more likely to acquire ARG-carrying organisms through routes unrelated to antibiot</w:t>
      </w:r>
      <w:r>
        <w:t>ic pressure. Within-patient longitudinal studies may be necessary to accurately assess the resistance impact of specific antibiotics or stewardship interventions.</w:t>
      </w:r>
    </w:p>
    <w:p w14:paraId="7261EBFA" w14:textId="77777777" w:rsidR="00E479D0" w:rsidRDefault="00AE7DDF">
      <w:pPr>
        <w:spacing w:after="200"/>
      </w:pPr>
      <w:r>
        <w:t>This does not mean that resistance is unimportant—multidrug-resistant organisms clearly pose clinical challenges when they cause infection. Rather, it suggests that the pathway from antibiotic use to infection may run through microbiome disruption more often than through resistance selection, at least for short-term exposures in hospitalized patients. Long-term and population-level effects of antibiotic use on resistance ecology remain important concerns.</w:t>
      </w:r>
    </w:p>
    <w:p w14:paraId="31A6BE59" w14:textId="77777777" w:rsidR="00E479D0" w:rsidRDefault="00AE7DDF">
      <w:pPr>
        <w:pStyle w:val="Heading2"/>
      </w:pPr>
      <w:r>
        <w:t>Predicting BSI Risk</w:t>
      </w:r>
    </w:p>
    <w:p w14:paraId="64E11ECB" w14:textId="77777777" w:rsidR="00E479D0" w:rsidRDefault="00AE7DDF">
      <w:pPr>
        <w:spacing w:after="200"/>
      </w:pPr>
      <w:r>
        <w:t>Current approaches to BSI risk prediction in hospitalized patients emphasize well-established factors: neutropenia and its depth and duration, presence and type of central venous catheters, mucositis severity, immunosuppressive regimen, and prior BSI episodes. While these factors are important, they do not capture the dynamic changes in microbiome state that our data suggest influence infection risk.</w:t>
      </w:r>
    </w:p>
    <w:p w14:paraId="2B673002" w14:textId="77777777" w:rsidR="00E479D0" w:rsidRDefault="00AE7DDF">
      <w:pPr>
        <w:spacing w:after="200"/>
      </w:pPr>
      <w:r>
        <w:t>Our findings suggest that time since antibiotic cessation may be an important additional predictor of BSI. Patients in the early post-antibiotic window with depleted anaerobes and rebounding Enterobacteriaceae may be at substantially higher risk than suggested by traditional risk factors alone. Two patients with identical neutrophil counts and central line status might have very different BSI risk depending on whether they are currently on antibiotics, in the early post-antibiotic window, or weeks removed f</w:t>
      </w:r>
      <w:r>
        <w:t>rom antibiotic exposure.</w:t>
      </w:r>
    </w:p>
    <w:p w14:paraId="30A98389" w14:textId="77777777" w:rsidR="00E479D0" w:rsidRDefault="00AE7DDF">
      <w:pPr>
        <w:spacing w:after="200"/>
      </w:pPr>
      <w:r>
        <w:t xml:space="preserve">Microbiome profiling could potentially identify patients at highest risk for translocation. Fecal Enterobacteriaceae dominance (&gt;50% relative abundance) in the setting of depleted </w:t>
      </w:r>
      <w:r>
        <w:lastRenderedPageBreak/>
        <w:t>anaerobes may represent a high-risk microbiome signature warranting enhanced surveillance or preemptive intervention. Development of rapid, clinically practical microbiome assays could enable risk-stratified prevention approaches. Such assays could be integrated into routine care for high-risk patients, with results informing discharge timing, empiric antibiotic selection, or eligibility for microbiome-targeted prevention.</w:t>
      </w:r>
    </w:p>
    <w:p w14:paraId="7227EB32" w14:textId="77777777" w:rsidR="00E479D0" w:rsidRDefault="00AE7DDF">
      <w:pPr>
        <w:spacing w:after="200"/>
      </w:pPr>
      <w:r>
        <w:t>Even without microbiome data, clinical prediction models could be improved by incorporating antibiotic timing. A patient completing a course of meropenem on Monday who remains hospitalized with a central line through Friday is in a different risk state than one who completed antibiotics two weeks earlier. Electronic health record-based algorithms could calculate days since last antibiotic dose and flag patients entering the high-risk post-antibiotic window for enhanced surveillance.</w:t>
      </w:r>
    </w:p>
    <w:p w14:paraId="0076C17F" w14:textId="77777777" w:rsidR="00E479D0" w:rsidRDefault="00AE7DDF">
      <w:pPr>
        <w:spacing w:after="200"/>
      </w:pPr>
      <w:r>
        <w:t>Future prospective studies should examine whether antibiotic timing improves discrimination in BSI prediction models beyond traditional risk factors, and whether microbiome signatures add incremental prognostic value. If confirmed, such models could support precision prevention strategies tailored to individual patient risk trajectories.</w:t>
      </w:r>
    </w:p>
    <w:p w14:paraId="66E9E101" w14:textId="77777777" w:rsidR="00E479D0" w:rsidRDefault="00AE7DDF">
      <w:pPr>
        <w:pStyle w:val="Heading2"/>
      </w:pPr>
      <w:r>
        <w:t>Limitations</w:t>
      </w:r>
    </w:p>
    <w:p w14:paraId="3569C23A" w14:textId="77777777" w:rsidR="00E479D0" w:rsidRDefault="00AE7DDF">
      <w:pPr>
        <w:spacing w:after="200"/>
      </w:pPr>
      <w:r>
        <w:t xml:space="preserve">Several limitations warrant consideration when interpreting these findings. First, our cohort comprised hospitalized children at high risk for infection due to immunosuppression, central venous catheters, and gut barrier dysfunction from underlying disease or its treatment. Findings may not generalize to healthy individuals, immunocompetent outpatients, or those with intact gut barriers. However, this population is precisely where antibiotic-associated infections have the greatest clinical consequences and </w:t>
      </w:r>
      <w:r>
        <w:t>where prevention strategies are most urgently needed. The mechanisms we describe—competitive dynamics between pathogens and commensals after antibiotic cessation—reflect fundamental microbial biology that should operate across patient populations, even if the clinical consequences differ.</w:t>
      </w:r>
    </w:p>
    <w:p w14:paraId="354CE85D" w14:textId="77777777" w:rsidR="00E479D0" w:rsidRDefault="00AE7DDF">
      <w:pPr>
        <w:spacing w:after="200"/>
      </w:pPr>
      <w:r>
        <w:t>Second, samples were collected across multiple studies with variable timing rather than at standardized intervals. This pragmatic design captures the natural range of clinical scenarios but introduces heterogeneity. The paired analytical design, in which each patient serves as their own control, mitigates confounding from between-patient differences including baseline microbiome composition, underlying diagnosis, immune status, and dietary factors. Consistency across heterogeneous populations and sampling p</w:t>
      </w:r>
      <w:r>
        <w:t>rotocols strengthens confidence in the generalizability of findings.</w:t>
      </w:r>
    </w:p>
    <w:p w14:paraId="627B0196" w14:textId="77777777" w:rsidR="00E479D0" w:rsidRDefault="00AE7DDF">
      <w:pPr>
        <w:spacing w:after="200"/>
      </w:pPr>
      <w:r>
        <w:t>Third, our BSI case series is intentionally small (n=4) and illustrative rather than comprehensive. These cases were selected to demonstrate the paradox of susceptible BSI isolates and motivate the mechanistic investigation, not to quantify the frequency of this phenomenon. A companion study examining thousands of BSI events over 13 years at our institution is underway to rigorously test whether BSI organism identity varies with timing of antibiotic cessation at scale, and to quantify what proportion of hea</w:t>
      </w:r>
      <w:r>
        <w:t>lthcare-associated BSI are caused by organisms susceptible to prior antibiotics.</w:t>
      </w:r>
    </w:p>
    <w:p w14:paraId="23F8D47A" w14:textId="77777777" w:rsidR="00E479D0" w:rsidRDefault="00AE7DDF">
      <w:pPr>
        <w:spacing w:after="200"/>
      </w:pPr>
      <w:r>
        <w:lastRenderedPageBreak/>
        <w:t>Fourth, metagenomic profiling provides relative abundances and cannot definitively distinguish between absolute changes in pathogen load versus proportional changes in a depleted community. If total bacterial biomass decreases substantially after antibiotics, apparent increases in Enterobacteriaceae relative abundance might not reflect true expansion. However, the clinical BSI data—showing actual translocation and culture-confirmed bloodstream infection with these dominant organisms—provides independent val</w:t>
      </w:r>
      <w:r>
        <w:t>idation that microbiome compositional changes have functional consequences for infection risk. The organisms that dominate the post-antibiotic gut are the same ones that cause BSI.</w:t>
      </w:r>
    </w:p>
    <w:p w14:paraId="1BFBFEE6" w14:textId="77777777" w:rsidR="00E479D0" w:rsidRDefault="00AE7DDF">
      <w:pPr>
        <w:spacing w:after="200"/>
      </w:pPr>
      <w:r>
        <w:t>Finally, our analysis focused on a 7-day antibiotic exposure window and recovery over days to weeks. Longer-term effects of repeated antibiotic courses, or cumulative effects over months to years, may differ from the patterns we observed. Resistance selection might be more significant over longer timescales even if short-term effects are limited.</w:t>
      </w:r>
    </w:p>
    <w:p w14:paraId="2D6E8856" w14:textId="77777777" w:rsidR="00E479D0" w:rsidRDefault="00AE7DDF">
      <w:pPr>
        <w:pStyle w:val="Heading2"/>
      </w:pPr>
      <w:r>
        <w:t>Conclusions</w:t>
      </w:r>
    </w:p>
    <w:p w14:paraId="0471095D" w14:textId="77777777" w:rsidR="00E479D0" w:rsidRDefault="00AE7DDF">
      <w:pPr>
        <w:spacing w:after="200"/>
      </w:pPr>
      <w:r>
        <w:t>Antibiotic-associated BSI in hospitalized children is driven by gut dominance of susceptible pathogens, not resistance selection. Antibiotics create sequential windows of vulnerability: Enterococcus expansion during therapy, followed by Enterobacteriaceae dominance after cessation. The post-antibiotic period represents an underrecognized window of infection risk that may be amenable to targeted prevention strategies including timed microbiome restoration, enhanced surveillance, and empiric coverage informed</w:t>
      </w:r>
      <w:r>
        <w:t xml:space="preserve"> by timing of antibiotic exposure.</w:t>
      </w:r>
    </w:p>
    <w:p w14:paraId="7F80D826" w14:textId="77777777" w:rsidR="00E479D0" w:rsidRDefault="00AE7DDF">
      <w:pPr>
        <w:spacing w:after="200"/>
      </w:pPr>
      <w:r>
        <w:t>These findings reframe antibiotic-associated infection from a resistance problem to a microbiome problem. The clinical implications are immediate and actionable: patients completing antibiotic courses should be recognized as entering a period of elevated BSI risk, not reduced risk. Empiric antibiotic selection for new fever should account for timing since last antibiotic exposure. Stewardship programs can cite microbiome protection as an additional rationale for limiting antibiotic duration.</w:t>
      </w:r>
    </w:p>
    <w:p w14:paraId="0CF11FD2" w14:textId="77777777" w:rsidR="00E479D0" w:rsidRDefault="00AE7DDF">
      <w:pPr>
        <w:spacing w:after="200"/>
      </w:pPr>
      <w:r>
        <w:t>More broadly, these data support a shift in how we conceptualize post-antibiotic infection risk. The enemy is not the resistant organism that survives antibiotic pressure, but the susceptible pathogen that rebounds into the vacuum left by depleted commensals. Understanding this distinction opens new avenues for prevention that complement, rather than replace, traditional resistance-focused approaches.</w:t>
      </w:r>
    </w:p>
    <w:p w14:paraId="195E7210" w14:textId="77777777" w:rsidR="00E479D0" w:rsidRDefault="00AE7DDF">
      <w:r>
        <w:br w:type="page"/>
      </w:r>
    </w:p>
    <w:p w14:paraId="574AA12F" w14:textId="77777777" w:rsidR="00E479D0" w:rsidRDefault="00AE7DDF">
      <w:pPr>
        <w:pStyle w:val="Heading1"/>
      </w:pPr>
      <w:r>
        <w:lastRenderedPageBreak/>
        <w:t>References</w:t>
      </w:r>
    </w:p>
    <w:p w14:paraId="65166BF4" w14:textId="77777777" w:rsidR="00E479D0" w:rsidRDefault="00AE7DDF">
      <w:pPr>
        <w:spacing w:after="200"/>
      </w:pPr>
      <w:r>
        <w:t>[References to be added during submission preparation]</w:t>
      </w:r>
    </w:p>
    <w:p w14:paraId="28384E5A" w14:textId="77777777" w:rsidR="00E479D0" w:rsidRDefault="00AE7DDF">
      <w:r>
        <w:br w:type="page"/>
      </w:r>
    </w:p>
    <w:p w14:paraId="13229CF4" w14:textId="77777777" w:rsidR="00E479D0" w:rsidRDefault="00AE7DDF">
      <w:pPr>
        <w:pStyle w:val="Heading1"/>
      </w:pPr>
      <w:r>
        <w:lastRenderedPageBreak/>
        <w:t>Figure Legends</w:t>
      </w:r>
    </w:p>
    <w:p w14:paraId="31EBF058" w14:textId="77777777" w:rsidR="00E479D0" w:rsidRDefault="00AE7DDF">
      <w:pPr>
        <w:spacing w:before="200" w:after="100"/>
      </w:pPr>
      <w:r>
        <w:rPr>
          <w:b/>
          <w:bCs/>
        </w:rPr>
        <w:t>Figure 1. BSI Isolates Are Genomically Identical to Fecal Strains Yet Susceptible to Prior Antibiotics.</w:t>
      </w:r>
    </w:p>
    <w:p w14:paraId="4370202F" w14:textId="77777777" w:rsidR="00E479D0" w:rsidRDefault="00AE7DDF">
      <w:pPr>
        <w:spacing w:after="200"/>
      </w:pPr>
      <w:r>
        <w:t>(A) Study design showing timeline of antibiotic exposure, fecal sampling, and BSI events. (B) Four illustrative cases. Patient timelines show antibiotic exposure (bars), fecal sample collection (circles), and BSI events (stars). Tables display BSI organism identification, genomic identity with fecal isolate (ANI and SNP distance), and susceptibility to antibiotics received in the preceding 7 days. Three of four isolates were susceptible to prior antibiotics despite gut-to-blood translocation. (C) Summary st</w:t>
      </w:r>
      <w:r>
        <w:t>atistics for susceptibility of BSI isolates to prior antibiotics.</w:t>
      </w:r>
    </w:p>
    <w:p w14:paraId="3F8F781A" w14:textId="77777777" w:rsidR="00E479D0" w:rsidRDefault="00AE7DDF">
      <w:pPr>
        <w:spacing w:before="200" w:after="100"/>
      </w:pPr>
      <w:r>
        <w:rPr>
          <w:b/>
          <w:bCs/>
        </w:rPr>
        <w:t>Figure 2. Microbiome Dynamics During Antibiotic Exposure.</w:t>
      </w:r>
    </w:p>
    <w:p w14:paraId="7DFF4CCA" w14:textId="77777777" w:rsidR="00E479D0" w:rsidRDefault="00AE7DDF">
      <w:pPr>
        <w:spacing w:after="200"/>
      </w:pPr>
      <w:r>
        <w:t>(A) Paired analysis of functional group abundance before versus during antibiotic exposure (n=206 pairs). Enterococcus increases significantly; Enterobacteriaceae and anaerobes remain stable or decline. (B) Species-level ranking by effect size during antibiotic exposure. Enterococcus species cluster at the top (increase during antibiotics); Enterobacteriaceae cluster at the bottom (decrease). Color-coding by functional group applied post-hoc after ranking.</w:t>
      </w:r>
    </w:p>
    <w:p w14:paraId="4631EF4C" w14:textId="77777777" w:rsidR="00E479D0" w:rsidRDefault="00AE7DDF">
      <w:pPr>
        <w:spacing w:before="200" w:after="100"/>
      </w:pPr>
      <w:r>
        <w:rPr>
          <w:b/>
          <w:bCs/>
        </w:rPr>
        <w:t>Figure 3. Enterobacteriaceae Dominate the Post-Antibiotic Gut.</w:t>
      </w:r>
    </w:p>
    <w:p w14:paraId="04B611A7" w14:textId="77777777" w:rsidR="00E479D0" w:rsidRDefault="00AE7DDF">
      <w:pPr>
        <w:spacing w:after="200"/>
      </w:pPr>
      <w:r>
        <w:t>(A) Paired analysis of functional group abundance during versus after antibiotic exposure (n=46-58 pairs). Enterobacteriaceae increase significantly; anaerobes fail to recover; Enterococcus declines. (B) Species-level ranking by recovery rate. Pathogenic Enterobacteriaceae (K. pneumoniae, K. aerogenes, C. freundii) cluster at the top. (C) Comparison of recovery rates between pathogenic Enterobacteriaceae and obligate anaerobes (49-fold difference, p=0.045).</w:t>
      </w:r>
    </w:p>
    <w:p w14:paraId="57CFDB61" w14:textId="77777777" w:rsidR="00E479D0" w:rsidRDefault="00AE7DDF">
      <w:pPr>
        <w:spacing w:before="200" w:after="100"/>
      </w:pPr>
      <w:r>
        <w:rPr>
          <w:b/>
          <w:bCs/>
        </w:rPr>
        <w:t>Figure 4. Two Windows of Infection Vulnerability.</w:t>
      </w:r>
    </w:p>
    <w:p w14:paraId="5C1FFC6B" w14:textId="77777777" w:rsidR="00E479D0" w:rsidRDefault="00AE7DDF">
      <w:pPr>
        <w:spacing w:after="200"/>
      </w:pPr>
      <w:r>
        <w:t>(A) Conceptual model of microbiome dynamics and infection risk during and after antibiotic exposure. During antibiotics: Enterococcus-dominant microbiome with VRE infection risk. After antibiotics: Enterobacteriaceae-dominant microbiome with Gram-negative BSI risk. (B) Predicted BSI organism identity by timing relative to antibiotic exposure. (C) Clinical implications for surveillance and empiric coverage.</w:t>
      </w:r>
    </w:p>
    <w:p w14:paraId="52236917" w14:textId="77777777" w:rsidR="00E479D0" w:rsidRDefault="00AE7DDF">
      <w:pPr>
        <w:spacing w:before="200" w:after="100"/>
      </w:pPr>
      <w:r>
        <w:rPr>
          <w:b/>
          <w:bCs/>
        </w:rPr>
        <w:t>Figure 5. No Within-Patient Resistance Selection.</w:t>
      </w:r>
    </w:p>
    <w:p w14:paraId="3383777D" w14:textId="77777777" w:rsidR="00E479D0" w:rsidRDefault="00AE7DDF">
      <w:pPr>
        <w:spacing w:after="200"/>
      </w:pPr>
      <w:r>
        <w:t>(A) Cross-sectional ARG associations with antibiotic exposure (213 robust associations). (B) Paired within-patient ARG analysis (n=90 comparisons). Forest plot shows effect sizes and 95% confidence intervals; only 1/90 comparisons significant. (C) Interpretation: cross-sectional associations reflect confounding; paired analysis shows no causal selection. ARGs are markers of antibiotic exposure, not mediators of infection risk.</w:t>
      </w:r>
    </w:p>
    <w:p w14:paraId="558BD1F9" w14:textId="77777777" w:rsidR="00E479D0" w:rsidRDefault="00AE7DDF">
      <w:r>
        <w:br w:type="page"/>
      </w:r>
    </w:p>
    <w:p w14:paraId="700315F2" w14:textId="77777777" w:rsidR="00E479D0" w:rsidRDefault="00AE7DDF">
      <w:pPr>
        <w:pStyle w:val="Heading1"/>
      </w:pPr>
      <w:r>
        <w:lastRenderedPageBreak/>
        <w:t>Supplementary Materials</w:t>
      </w:r>
    </w:p>
    <w:p w14:paraId="416DD29C" w14:textId="77777777" w:rsidR="00E479D0" w:rsidRDefault="00AE7DDF">
      <w:pPr>
        <w:spacing w:after="200"/>
      </w:pPr>
      <w:r>
        <w:rPr>
          <w:b/>
          <w:bCs/>
        </w:rPr>
        <w:t xml:space="preserve">Table S1. </w:t>
      </w:r>
      <w:r>
        <w:t>Patient demographics and clinical characteristics by study population.</w:t>
      </w:r>
    </w:p>
    <w:p w14:paraId="2D358184" w14:textId="77777777" w:rsidR="00E479D0" w:rsidRDefault="00AE7DDF">
      <w:pPr>
        <w:spacing w:after="200"/>
      </w:pPr>
      <w:r>
        <w:rPr>
          <w:b/>
          <w:bCs/>
        </w:rPr>
        <w:t xml:space="preserve">Table S2. </w:t>
      </w:r>
      <w:r>
        <w:t>Complete differential abundance results (577 robust species-antibiotic associations).</w:t>
      </w:r>
    </w:p>
    <w:p w14:paraId="78B66C6E" w14:textId="77777777" w:rsidR="00E479D0" w:rsidRDefault="00AE7DDF">
      <w:pPr>
        <w:spacing w:after="200"/>
      </w:pPr>
      <w:r>
        <w:rPr>
          <w:b/>
          <w:bCs/>
        </w:rPr>
        <w:t xml:space="preserve">Table S3. </w:t>
      </w:r>
      <w:r>
        <w:t>ARG analysis results: cross-sectional associations and paired within-patient comparisons.</w:t>
      </w:r>
    </w:p>
    <w:p w14:paraId="096AC31B" w14:textId="77777777" w:rsidR="00E479D0" w:rsidRDefault="00AE7DDF">
      <w:pPr>
        <w:spacing w:after="200"/>
      </w:pPr>
      <w:r>
        <w:rPr>
          <w:b/>
          <w:bCs/>
        </w:rPr>
        <w:t xml:space="preserve">Table S4. </w:t>
      </w:r>
      <w:r>
        <w:t>Antibiotic-specific effects on functional groups.</w:t>
      </w:r>
    </w:p>
    <w:p w14:paraId="5FCBA21F" w14:textId="77777777" w:rsidR="00E479D0" w:rsidRDefault="00AE7DDF">
      <w:pPr>
        <w:spacing w:after="200"/>
      </w:pPr>
      <w:r>
        <w:rPr>
          <w:b/>
          <w:bCs/>
        </w:rPr>
        <w:t xml:space="preserve">Table S5. </w:t>
      </w:r>
      <w:r>
        <w:t>Stratified analysis by patient group with heterogeneity testing.</w:t>
      </w:r>
    </w:p>
    <w:p w14:paraId="22176BC3" w14:textId="77777777" w:rsidR="00E479D0" w:rsidRDefault="00AE7DDF">
      <w:pPr>
        <w:spacing w:after="200"/>
      </w:pPr>
      <w:r>
        <w:rPr>
          <w:b/>
          <w:bCs/>
        </w:rPr>
        <w:t xml:space="preserve">Figure S1. </w:t>
      </w:r>
      <w:r>
        <w:t>Individual patient trajectories showing microbiome composition over time.</w:t>
      </w:r>
    </w:p>
    <w:p w14:paraId="778DCBE9" w14:textId="77777777" w:rsidR="00E479D0" w:rsidRDefault="00AE7DDF">
      <w:pPr>
        <w:spacing w:after="200"/>
      </w:pPr>
      <w:r>
        <w:rPr>
          <w:b/>
          <w:bCs/>
        </w:rPr>
        <w:t xml:space="preserve">Figure S2. </w:t>
      </w:r>
      <w:r>
        <w:t>Antibiotic-specific heatmap of effects on Enterococcus, Enterobacteriaceae, and anaerobes.</w:t>
      </w:r>
    </w:p>
    <w:p w14:paraId="15D4B311" w14:textId="77777777" w:rsidR="00E479D0" w:rsidRDefault="00AE7DDF">
      <w:pPr>
        <w:spacing w:after="200"/>
      </w:pPr>
      <w:r>
        <w:rPr>
          <w:b/>
          <w:bCs/>
        </w:rPr>
        <w:t xml:space="preserve">Figure S3. </w:t>
      </w:r>
      <w:r>
        <w:t>E. faecalis versus E. faecium recovery trajectories.</w:t>
      </w:r>
    </w:p>
    <w:p w14:paraId="1BE64BC0" w14:textId="77777777" w:rsidR="00E479D0" w:rsidRDefault="00AE7DDF">
      <w:pPr>
        <w:spacing w:after="200"/>
      </w:pPr>
      <w:r>
        <w:rPr>
          <w:b/>
          <w:bCs/>
        </w:rPr>
        <w:t xml:space="preserve">Methods S1. </w:t>
      </w:r>
      <w:r>
        <w:t>Detailed statistical methods.</w:t>
      </w:r>
    </w:p>
    <w:p w14:paraId="6CF4BD8B" w14:textId="77777777" w:rsidR="00E479D0" w:rsidRDefault="00AE7DDF">
      <w:pPr>
        <w:spacing w:after="200"/>
      </w:pPr>
      <w:r>
        <w:rPr>
          <w:b/>
          <w:bCs/>
        </w:rPr>
        <w:t xml:space="preserve">Methods S2. </w:t>
      </w:r>
      <w:r>
        <w:t>Genomic analysis pipeline for BSI isolate comparison.</w:t>
      </w:r>
    </w:p>
    <w:sectPr w:rsidR="00E479D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443A2" w14:textId="77777777" w:rsidR="00AE7DDF" w:rsidRDefault="00AE7DDF">
      <w:pPr>
        <w:spacing w:line="240" w:lineRule="auto"/>
      </w:pPr>
      <w:r>
        <w:separator/>
      </w:r>
    </w:p>
  </w:endnote>
  <w:endnote w:type="continuationSeparator" w:id="0">
    <w:p w14:paraId="7BE956F6" w14:textId="77777777" w:rsidR="00AE7DDF" w:rsidRDefault="00AE7D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7BDBD" w14:textId="77777777" w:rsidR="00E479D0" w:rsidRDefault="00AE7DDF">
    <w:pPr>
      <w:jc w:val="center"/>
    </w:pPr>
    <w:r>
      <w:rPr>
        <w:sz w:val="20"/>
        <w:szCs w:val="20"/>
      </w:rPr>
      <w:fldChar w:fldCharType="begin"/>
    </w:r>
    <w:r>
      <w:rPr>
        <w:sz w:val="20"/>
        <w:szCs w:val="20"/>
      </w:rPr>
      <w:instrText>PAGE</w:instrText>
    </w:r>
    <w:r>
      <w:rPr>
        <w:sz w:val="20"/>
        <w:szCs w:val="20"/>
      </w:rPr>
      <w:fldChar w:fldCharType="separate"/>
    </w:r>
    <w:r w:rsidR="00374CA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3352A" w14:textId="77777777" w:rsidR="00AE7DDF" w:rsidRDefault="00AE7DDF">
      <w:pPr>
        <w:spacing w:line="240" w:lineRule="auto"/>
      </w:pPr>
      <w:r>
        <w:separator/>
      </w:r>
    </w:p>
  </w:footnote>
  <w:footnote w:type="continuationSeparator" w:id="0">
    <w:p w14:paraId="51F34696" w14:textId="77777777" w:rsidR="00AE7DDF" w:rsidRDefault="00AE7D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8CE10" w14:textId="77777777" w:rsidR="00E479D0" w:rsidRDefault="00AE7DDF">
    <w:pPr>
      <w:jc w:val="right"/>
    </w:pPr>
    <w:r>
      <w:rPr>
        <w:i/>
        <w:iCs/>
        <w:sz w:val="20"/>
        <w:szCs w:val="20"/>
      </w:rPr>
      <w:t>Post-Antibiotic Pathogen Dominance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C0B5D"/>
    <w:multiLevelType w:val="hybridMultilevel"/>
    <w:tmpl w:val="46B86F98"/>
    <w:lvl w:ilvl="0" w:tplc="B4D25832">
      <w:start w:val="1"/>
      <w:numFmt w:val="bullet"/>
      <w:lvlText w:val="•"/>
      <w:lvlJc w:val="left"/>
      <w:pPr>
        <w:ind w:left="720" w:hanging="360"/>
      </w:pPr>
    </w:lvl>
    <w:lvl w:ilvl="1" w:tplc="09623DE0">
      <w:numFmt w:val="decimal"/>
      <w:lvlText w:val=""/>
      <w:lvlJc w:val="left"/>
    </w:lvl>
    <w:lvl w:ilvl="2" w:tplc="4A1A5DC2">
      <w:numFmt w:val="decimal"/>
      <w:lvlText w:val=""/>
      <w:lvlJc w:val="left"/>
    </w:lvl>
    <w:lvl w:ilvl="3" w:tplc="47AE4EE2">
      <w:numFmt w:val="decimal"/>
      <w:lvlText w:val=""/>
      <w:lvlJc w:val="left"/>
    </w:lvl>
    <w:lvl w:ilvl="4" w:tplc="8918D768">
      <w:numFmt w:val="decimal"/>
      <w:lvlText w:val=""/>
      <w:lvlJc w:val="left"/>
    </w:lvl>
    <w:lvl w:ilvl="5" w:tplc="2A8A735C">
      <w:numFmt w:val="decimal"/>
      <w:lvlText w:val=""/>
      <w:lvlJc w:val="left"/>
    </w:lvl>
    <w:lvl w:ilvl="6" w:tplc="0A580CC8">
      <w:numFmt w:val="decimal"/>
      <w:lvlText w:val=""/>
      <w:lvlJc w:val="left"/>
    </w:lvl>
    <w:lvl w:ilvl="7" w:tplc="C58E6FBA">
      <w:numFmt w:val="decimal"/>
      <w:lvlText w:val=""/>
      <w:lvlJc w:val="left"/>
    </w:lvl>
    <w:lvl w:ilvl="8" w:tplc="B2A26904">
      <w:numFmt w:val="decimal"/>
      <w:lvlText w:val=""/>
      <w:lvlJc w:val="left"/>
    </w:lvl>
  </w:abstractNum>
  <w:abstractNum w:abstractNumId="1" w15:restartNumberingAfterBreak="0">
    <w:nsid w:val="7487227B"/>
    <w:multiLevelType w:val="hybridMultilevel"/>
    <w:tmpl w:val="A0289016"/>
    <w:lvl w:ilvl="0" w:tplc="40767F8A">
      <w:start w:val="1"/>
      <w:numFmt w:val="bullet"/>
      <w:lvlText w:val="●"/>
      <w:lvlJc w:val="left"/>
      <w:pPr>
        <w:ind w:left="720" w:hanging="360"/>
      </w:pPr>
    </w:lvl>
    <w:lvl w:ilvl="1" w:tplc="75AA93D0">
      <w:start w:val="1"/>
      <w:numFmt w:val="bullet"/>
      <w:lvlText w:val="○"/>
      <w:lvlJc w:val="left"/>
      <w:pPr>
        <w:ind w:left="1440" w:hanging="360"/>
      </w:pPr>
    </w:lvl>
    <w:lvl w:ilvl="2" w:tplc="24309FC4">
      <w:start w:val="1"/>
      <w:numFmt w:val="bullet"/>
      <w:lvlText w:val="■"/>
      <w:lvlJc w:val="left"/>
      <w:pPr>
        <w:ind w:left="2160" w:hanging="360"/>
      </w:pPr>
    </w:lvl>
    <w:lvl w:ilvl="3" w:tplc="B92C58E2">
      <w:start w:val="1"/>
      <w:numFmt w:val="bullet"/>
      <w:lvlText w:val="●"/>
      <w:lvlJc w:val="left"/>
      <w:pPr>
        <w:ind w:left="2880" w:hanging="360"/>
      </w:pPr>
    </w:lvl>
    <w:lvl w:ilvl="4" w:tplc="71380DDA">
      <w:start w:val="1"/>
      <w:numFmt w:val="bullet"/>
      <w:lvlText w:val="○"/>
      <w:lvlJc w:val="left"/>
      <w:pPr>
        <w:ind w:left="3600" w:hanging="360"/>
      </w:pPr>
    </w:lvl>
    <w:lvl w:ilvl="5" w:tplc="A8D8148C">
      <w:start w:val="1"/>
      <w:numFmt w:val="bullet"/>
      <w:lvlText w:val="■"/>
      <w:lvlJc w:val="left"/>
      <w:pPr>
        <w:ind w:left="4320" w:hanging="360"/>
      </w:pPr>
    </w:lvl>
    <w:lvl w:ilvl="6" w:tplc="B6FA35C2">
      <w:start w:val="1"/>
      <w:numFmt w:val="bullet"/>
      <w:lvlText w:val="●"/>
      <w:lvlJc w:val="left"/>
      <w:pPr>
        <w:ind w:left="5040" w:hanging="360"/>
      </w:pPr>
    </w:lvl>
    <w:lvl w:ilvl="7" w:tplc="DA0EC968">
      <w:start w:val="1"/>
      <w:numFmt w:val="bullet"/>
      <w:lvlText w:val="●"/>
      <w:lvlJc w:val="left"/>
      <w:pPr>
        <w:ind w:left="5760" w:hanging="360"/>
      </w:pPr>
    </w:lvl>
    <w:lvl w:ilvl="8" w:tplc="57F0E30E">
      <w:start w:val="1"/>
      <w:numFmt w:val="bullet"/>
      <w:lvlText w:val="●"/>
      <w:lvlJc w:val="left"/>
      <w:pPr>
        <w:ind w:left="6480" w:hanging="360"/>
      </w:pPr>
    </w:lvl>
  </w:abstractNum>
  <w:num w:numId="1" w16cid:durableId="15001475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9D0"/>
    <w:rsid w:val="00374CAC"/>
    <w:rsid w:val="00AE7DDF"/>
    <w:rsid w:val="00B21BA8"/>
    <w:rsid w:val="00E479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78189"/>
  <w15:docId w15:val="{F738306B-E71C-442E-8DEA-D69AAD5BE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Arial" w:eastAsia="Arial" w:hAnsi="Arial" w:cs="Arial"/>
      <w:b/>
      <w:bCs/>
      <w:sz w:val="28"/>
      <w:szCs w:val="28"/>
    </w:rPr>
  </w:style>
  <w:style w:type="paragraph" w:styleId="Heading2">
    <w:name w:val="heading 2"/>
    <w:uiPriority w:val="9"/>
    <w:unhideWhenUsed/>
    <w:qFormat/>
    <w:pPr>
      <w:spacing w:before="280" w:after="80"/>
      <w:outlineLvl w:val="1"/>
    </w:pPr>
    <w:rPr>
      <w:rFonts w:ascii="Arial" w:eastAsia="Arial" w:hAnsi="Arial" w:cs="Arial"/>
      <w:b/>
      <w:bCs/>
      <w:sz w:val="26"/>
      <w:szCs w:val="26"/>
    </w:rPr>
  </w:style>
  <w:style w:type="paragraph" w:styleId="Heading3">
    <w:name w:val="heading 3"/>
    <w:uiPriority w:val="9"/>
    <w:semiHidden/>
    <w:unhideWhenUsed/>
    <w:qFormat/>
    <w:pPr>
      <w:spacing w:before="240" w:after="60"/>
      <w:outlineLvl w:val="2"/>
    </w:pPr>
    <w:rPr>
      <w:rFonts w:ascii="Arial" w:eastAsia="Arial" w:hAnsi="Arial" w:cs="Arial"/>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rFonts w:ascii="Arial" w:eastAsia="Arial" w:hAnsi="Arial" w:cs="Arial"/>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bstract">
    <w:name w:val="Abstract"/>
    <w:pPr>
      <w:spacing w:after="200"/>
      <w:ind w:left="720" w:right="72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5852</Words>
  <Characters>33362</Characters>
  <Application>Microsoft Office Word</Application>
  <DocSecurity>0</DocSecurity>
  <Lines>278</Lines>
  <Paragraphs>78</Paragraphs>
  <ScaleCrop>false</ScaleCrop>
  <Company/>
  <LinksUpToDate>false</LinksUpToDate>
  <CharactersWithSpaces>39136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Haslam</cp:lastModifiedBy>
  <cp:revision>2</cp:revision>
  <dcterms:created xsi:type="dcterms:W3CDTF">2025-12-30T05:27:00Z</dcterms:created>
  <dcterms:modified xsi:type="dcterms:W3CDTF">2025-12-30T05:27:00Z</dcterms:modified>
</cp:coreProperties>
</file>