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B16DA" w14:textId="6C39955C" w:rsidR="00934ED1" w:rsidRDefault="000A6348" w:rsidP="006D2BE1">
      <w:pPr>
        <w:jc w:val="center"/>
        <w:rPr>
          <w:rFonts w:ascii="Arial" w:hAnsi="Arial" w:cs="Arial"/>
          <w:b/>
          <w:sz w:val="44"/>
          <w:szCs w:val="40"/>
        </w:rPr>
      </w:pPr>
      <w:r w:rsidRPr="000A6348">
        <w:rPr>
          <w:rFonts w:ascii="Arial" w:hAnsi="Arial" w:cs="Arial"/>
          <w:b/>
          <w:sz w:val="44"/>
          <w:szCs w:val="40"/>
        </w:rPr>
        <w:t>Febrile Infant</w:t>
      </w:r>
      <w:r>
        <w:rPr>
          <w:rFonts w:ascii="Arial" w:hAnsi="Arial" w:cs="Arial"/>
          <w:b/>
          <w:sz w:val="44"/>
          <w:szCs w:val="40"/>
        </w:rPr>
        <w:t xml:space="preserve"> Guideline:</w:t>
      </w:r>
      <w:r w:rsidRPr="000A6348">
        <w:rPr>
          <w:rFonts w:ascii="Arial" w:hAnsi="Arial" w:cs="Arial"/>
          <w:b/>
          <w:sz w:val="44"/>
          <w:szCs w:val="40"/>
        </w:rPr>
        <w:t xml:space="preserve"> Previously Healthy, Full-Term 0 to 60 days of age</w:t>
      </w:r>
    </w:p>
    <w:p w14:paraId="3DBF826C" w14:textId="1A877D02" w:rsidR="00EA0FBB" w:rsidRDefault="00194799" w:rsidP="006D2BE1">
      <w:pPr>
        <w:jc w:val="center"/>
      </w:pPr>
      <w:r w:rsidRPr="00194799">
        <w:rPr>
          <w:sz w:val="18"/>
          <w:szCs w:val="18"/>
        </w:rPr>
        <w:t>Adapted from AAP Clinical Practice Guideline: Evaluation and Management of Well-Appearing Febrile Infants 8 to 60 Days Old. Pediatrics. August 2021.148(2).</w:t>
      </w:r>
      <w:r w:rsidRPr="00194799">
        <w:t xml:space="preserve"> </w:t>
      </w:r>
      <w:r w:rsidR="000B2CAF">
        <w:object w:dxaOrig="15106" w:dyaOrig="10155" w14:anchorId="0EF97E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style="width:586pt;height:393.5pt" o:ole="">
            <v:imagedata r:id="rId9" o:title=""/>
          </v:shape>
          <o:OLEObject Type="Embed" ProgID="Visio.Drawing.15" ShapeID="_x0000_i1040" DrawAspect="Content" ObjectID="_1795609161" r:id="rId10"/>
        </w:object>
      </w:r>
    </w:p>
    <w:tbl>
      <w:tblPr>
        <w:tblpPr w:leftFromText="180" w:rightFromText="180" w:vertAnchor="text" w:horzAnchor="margin" w:tblpXSpec="center" w:tblpY="28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4"/>
        <w:gridCol w:w="8811"/>
      </w:tblGrid>
      <w:tr w:rsidR="000B2CAF" w:rsidRPr="00741B20" w14:paraId="11AB8C0E" w14:textId="77777777" w:rsidTr="000B2CAF">
        <w:trPr>
          <w:trHeight w:val="238"/>
        </w:trPr>
        <w:tc>
          <w:tcPr>
            <w:tcW w:w="12505" w:type="dxa"/>
            <w:gridSpan w:val="2"/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11DF2C" w14:textId="77777777" w:rsidR="000B2CAF" w:rsidRPr="00741B20" w:rsidRDefault="000B2CAF" w:rsidP="001761C7">
            <w:pPr>
              <w:pStyle w:val="Default"/>
              <w:jc w:val="center"/>
              <w:rPr>
                <w:rFonts w:asciiTheme="minorHAnsi" w:hAnsiTheme="minorHAnsi"/>
                <w:b/>
                <w:color w:val="000000" w:themeColor="text1"/>
                <w:szCs w:val="20"/>
              </w:rPr>
            </w:pPr>
            <w:r w:rsidRPr="00741B20">
              <w:rPr>
                <w:rFonts w:asciiTheme="minorHAnsi" w:hAnsiTheme="minorHAnsi"/>
                <w:b/>
                <w:color w:val="FFFFFF" w:themeColor="background1"/>
                <w:sz w:val="32"/>
                <w:szCs w:val="20"/>
              </w:rPr>
              <w:t>Definitions</w:t>
            </w:r>
          </w:p>
        </w:tc>
      </w:tr>
      <w:tr w:rsidR="000B2CAF" w:rsidRPr="00741B20" w14:paraId="4E1D7AA7" w14:textId="77777777" w:rsidTr="000B2CAF">
        <w:trPr>
          <w:trHeight w:val="93"/>
        </w:trPr>
        <w:tc>
          <w:tcPr>
            <w:tcW w:w="369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28AC3B" w14:textId="77777777" w:rsidR="000B2CAF" w:rsidRPr="00741B20" w:rsidRDefault="000B2CAF" w:rsidP="001761C7">
            <w:pPr>
              <w:pStyle w:val="Default"/>
              <w:jc w:val="center"/>
              <w:rPr>
                <w:rFonts w:asciiTheme="minorHAnsi" w:hAnsiTheme="minorHAnsi"/>
                <w:color w:val="000000" w:themeColor="text1"/>
                <w:szCs w:val="20"/>
              </w:rPr>
            </w:pPr>
            <w:r w:rsidRPr="00741B20">
              <w:rPr>
                <w:rFonts w:asciiTheme="minorHAnsi" w:hAnsiTheme="minorHAnsi"/>
                <w:color w:val="000000" w:themeColor="text1"/>
                <w:szCs w:val="20"/>
              </w:rPr>
              <w:t>Fever</w:t>
            </w:r>
          </w:p>
        </w:tc>
        <w:tc>
          <w:tcPr>
            <w:tcW w:w="881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6447A6" w14:textId="77777777" w:rsidR="000B2CAF" w:rsidRPr="00741B20" w:rsidRDefault="000B2CAF" w:rsidP="001761C7">
            <w:pPr>
              <w:pStyle w:val="Default"/>
              <w:jc w:val="center"/>
              <w:rPr>
                <w:rFonts w:asciiTheme="minorHAnsi" w:hAnsiTheme="minorHAnsi"/>
                <w:color w:val="000000" w:themeColor="text1"/>
                <w:szCs w:val="20"/>
              </w:rPr>
            </w:pPr>
            <w:r w:rsidRPr="00741B20">
              <w:rPr>
                <w:rFonts w:asciiTheme="minorHAnsi" w:hAnsiTheme="minorHAnsi"/>
                <w:color w:val="000000" w:themeColor="text1"/>
                <w:szCs w:val="20"/>
              </w:rPr>
              <w:t>Temperature &gt; 38ºC (100.4 ºF)</w:t>
            </w:r>
          </w:p>
        </w:tc>
      </w:tr>
      <w:tr w:rsidR="000B2CAF" w:rsidRPr="00741B20" w14:paraId="1888E0F0" w14:textId="77777777" w:rsidTr="000B2CAF">
        <w:trPr>
          <w:trHeight w:val="93"/>
        </w:trPr>
        <w:tc>
          <w:tcPr>
            <w:tcW w:w="369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F74038" w14:textId="77777777" w:rsidR="000B2CAF" w:rsidRPr="00741B20" w:rsidRDefault="000B2CAF" w:rsidP="001761C7">
            <w:pPr>
              <w:pStyle w:val="Default"/>
              <w:jc w:val="center"/>
              <w:rPr>
                <w:rFonts w:asciiTheme="minorHAnsi" w:hAnsiTheme="minorHAnsi"/>
                <w:color w:val="000000" w:themeColor="text1"/>
                <w:szCs w:val="20"/>
              </w:rPr>
            </w:pPr>
            <w:r w:rsidRPr="00741B20">
              <w:rPr>
                <w:rFonts w:asciiTheme="minorHAnsi" w:hAnsiTheme="minorHAnsi"/>
                <w:color w:val="000000" w:themeColor="text1"/>
                <w:szCs w:val="20"/>
              </w:rPr>
              <w:t>Fever of uncertain source (FUS)</w:t>
            </w:r>
          </w:p>
        </w:tc>
        <w:tc>
          <w:tcPr>
            <w:tcW w:w="881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677F3C" w14:textId="77777777" w:rsidR="000B2CAF" w:rsidRPr="00741B20" w:rsidRDefault="000B2CAF" w:rsidP="001761C7">
            <w:pPr>
              <w:pStyle w:val="Default"/>
              <w:jc w:val="center"/>
              <w:rPr>
                <w:rFonts w:asciiTheme="minorHAnsi" w:hAnsiTheme="minorHAnsi"/>
                <w:color w:val="000000" w:themeColor="text1"/>
                <w:szCs w:val="20"/>
              </w:rPr>
            </w:pPr>
            <w:r w:rsidRPr="00741B20">
              <w:rPr>
                <w:rFonts w:asciiTheme="minorHAnsi" w:hAnsiTheme="minorHAnsi"/>
                <w:color w:val="000000" w:themeColor="text1"/>
                <w:szCs w:val="20"/>
              </w:rPr>
              <w:t>An acute febrile illness in which the etiology of the fever is not apparent after a thorough history and physical exam</w:t>
            </w:r>
            <w:r>
              <w:rPr>
                <w:rFonts w:asciiTheme="minorHAnsi" w:hAnsiTheme="minorHAnsi"/>
                <w:color w:val="000000" w:themeColor="text1"/>
                <w:szCs w:val="20"/>
              </w:rPr>
              <w:t>; viral symptoms do not constitute a source</w:t>
            </w:r>
          </w:p>
        </w:tc>
      </w:tr>
      <w:tr w:rsidR="000B2CAF" w:rsidRPr="00741B20" w14:paraId="21C3033D" w14:textId="77777777" w:rsidTr="000B2CAF">
        <w:trPr>
          <w:trHeight w:val="93"/>
        </w:trPr>
        <w:tc>
          <w:tcPr>
            <w:tcW w:w="369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2A1D3F" w14:textId="77777777" w:rsidR="000B2CAF" w:rsidRPr="00741B20" w:rsidRDefault="000B2CAF" w:rsidP="001761C7">
            <w:pPr>
              <w:pStyle w:val="Default"/>
              <w:jc w:val="center"/>
              <w:rPr>
                <w:rFonts w:asciiTheme="minorHAnsi" w:hAnsiTheme="minorHAnsi"/>
                <w:color w:val="000000" w:themeColor="text1"/>
                <w:szCs w:val="20"/>
              </w:rPr>
            </w:pPr>
            <w:r w:rsidRPr="00741B20">
              <w:rPr>
                <w:rFonts w:asciiTheme="minorHAnsi" w:hAnsiTheme="minorHAnsi"/>
                <w:color w:val="000000" w:themeColor="text1"/>
                <w:szCs w:val="20"/>
              </w:rPr>
              <w:t>Invasive bacterial infection (IBI)</w:t>
            </w:r>
          </w:p>
        </w:tc>
        <w:tc>
          <w:tcPr>
            <w:tcW w:w="881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B0CD5C" w14:textId="77777777" w:rsidR="000B2CAF" w:rsidRPr="00741B20" w:rsidRDefault="000B2CAF" w:rsidP="001761C7">
            <w:pPr>
              <w:pStyle w:val="Default"/>
              <w:jc w:val="center"/>
              <w:rPr>
                <w:rFonts w:asciiTheme="minorHAnsi" w:hAnsiTheme="minorHAnsi"/>
                <w:color w:val="000000" w:themeColor="text1"/>
                <w:szCs w:val="20"/>
              </w:rPr>
            </w:pPr>
            <w:r w:rsidRPr="00741B20">
              <w:rPr>
                <w:rFonts w:asciiTheme="minorHAnsi" w:hAnsiTheme="minorHAnsi"/>
                <w:color w:val="000000" w:themeColor="text1"/>
                <w:szCs w:val="20"/>
              </w:rPr>
              <w:t>Bacteremia and/or bacterial meningitis in infants ≤ 60 days of age</w:t>
            </w:r>
          </w:p>
        </w:tc>
      </w:tr>
      <w:tr w:rsidR="000B2CAF" w:rsidRPr="00741B20" w14:paraId="0EB97D30" w14:textId="77777777" w:rsidTr="000B2CAF">
        <w:trPr>
          <w:trHeight w:val="93"/>
        </w:trPr>
        <w:tc>
          <w:tcPr>
            <w:tcW w:w="369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5FF335" w14:textId="77777777" w:rsidR="000B2CAF" w:rsidRPr="00741B20" w:rsidRDefault="000B2CAF" w:rsidP="001761C7">
            <w:pPr>
              <w:pStyle w:val="Default"/>
              <w:jc w:val="center"/>
              <w:rPr>
                <w:rFonts w:asciiTheme="minorHAnsi" w:hAnsiTheme="minorHAnsi"/>
                <w:color w:val="000000" w:themeColor="text1"/>
                <w:szCs w:val="20"/>
              </w:rPr>
            </w:pPr>
            <w:r w:rsidRPr="00741B20">
              <w:rPr>
                <w:rFonts w:asciiTheme="minorHAnsi" w:hAnsiTheme="minorHAnsi"/>
                <w:color w:val="000000" w:themeColor="text1"/>
                <w:szCs w:val="20"/>
              </w:rPr>
              <w:t>Serious bacterial infection (SBI)</w:t>
            </w:r>
          </w:p>
        </w:tc>
        <w:tc>
          <w:tcPr>
            <w:tcW w:w="881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020CFF" w14:textId="77777777" w:rsidR="000B2CAF" w:rsidRPr="00741B20" w:rsidRDefault="000B2CAF" w:rsidP="001761C7">
            <w:pPr>
              <w:pStyle w:val="Default"/>
              <w:jc w:val="center"/>
              <w:rPr>
                <w:rFonts w:asciiTheme="minorHAnsi" w:hAnsiTheme="minorHAnsi"/>
                <w:color w:val="000000" w:themeColor="text1"/>
                <w:szCs w:val="20"/>
              </w:rPr>
            </w:pPr>
            <w:r w:rsidRPr="00741B20">
              <w:rPr>
                <w:rFonts w:asciiTheme="minorHAnsi" w:hAnsiTheme="minorHAnsi"/>
                <w:color w:val="000000" w:themeColor="text1"/>
                <w:szCs w:val="20"/>
              </w:rPr>
              <w:t>A urinary tract infection, bacterial meningitis, bacteremia, bacterial pneumonia, gastroenteritis, cellulitis, osteomyelitis, or septic arthritis</w:t>
            </w:r>
          </w:p>
        </w:tc>
      </w:tr>
    </w:tbl>
    <w:p w14:paraId="50C2D27D" w14:textId="77777777" w:rsidR="000B2CAF" w:rsidRPr="00194799" w:rsidRDefault="000B2CAF" w:rsidP="005D1FF1">
      <w:pPr>
        <w:rPr>
          <w:sz w:val="18"/>
          <w:szCs w:val="18"/>
        </w:rPr>
      </w:pPr>
    </w:p>
    <w:sectPr w:rsidR="000B2CAF" w:rsidRPr="00194799" w:rsidSect="0064719E">
      <w:pgSz w:w="15840" w:h="12240" w:orient="landscape"/>
      <w:pgMar w:top="216" w:right="216" w:bottom="216" w:left="2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E39D9"/>
    <w:multiLevelType w:val="hybridMultilevel"/>
    <w:tmpl w:val="89A27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DB1E58"/>
    <w:multiLevelType w:val="hybridMultilevel"/>
    <w:tmpl w:val="82CEA6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81911BA"/>
    <w:multiLevelType w:val="hybridMultilevel"/>
    <w:tmpl w:val="AD484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7586571">
    <w:abstractNumId w:val="0"/>
  </w:num>
  <w:num w:numId="2" w16cid:durableId="1841579484">
    <w:abstractNumId w:val="2"/>
  </w:num>
  <w:num w:numId="3" w16cid:durableId="183442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96B"/>
    <w:rsid w:val="000A6348"/>
    <w:rsid w:val="000B2CAF"/>
    <w:rsid w:val="00194799"/>
    <w:rsid w:val="003353E6"/>
    <w:rsid w:val="0059196B"/>
    <w:rsid w:val="005D1FF1"/>
    <w:rsid w:val="0064719E"/>
    <w:rsid w:val="006D2BE1"/>
    <w:rsid w:val="007F180E"/>
    <w:rsid w:val="007F3ABE"/>
    <w:rsid w:val="008307C2"/>
    <w:rsid w:val="00934ED1"/>
    <w:rsid w:val="009A731B"/>
    <w:rsid w:val="009D6F25"/>
    <w:rsid w:val="00E40191"/>
    <w:rsid w:val="00E707D0"/>
    <w:rsid w:val="00EA0FBB"/>
    <w:rsid w:val="00F03601"/>
    <w:rsid w:val="00FB4BCE"/>
    <w:rsid w:val="6C0A1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C3779"/>
  <w15:chartTrackingRefBased/>
  <w15:docId w15:val="{296618FF-830C-4A64-9E5B-32C5CE3A3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919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9196B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customStyle="1" w:styleId="Default">
    <w:name w:val="Default"/>
    <w:basedOn w:val="Normal"/>
    <w:rsid w:val="000B2CAF"/>
    <w:pPr>
      <w:autoSpaceDE w:val="0"/>
      <w:autoSpaceDN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package" Target="embeddings/Microsoft_Visio_Drawing.vsdx"/><Relationship Id="rId4" Type="http://schemas.openxmlformats.org/officeDocument/2006/relationships/customXml" Target="../customXml/item4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viewed xmlns="ba5447ae-4155-42e6-b025-397a2e535f00">false</Reviewed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DCAA7385A8344DA610B979824A9B22" ma:contentTypeVersion="6" ma:contentTypeDescription="Create a new document." ma:contentTypeScope="" ma:versionID="d899665a4222356dc0781ba008dd1e4a">
  <xsd:schema xmlns:xsd="http://www.w3.org/2001/XMLSchema" xmlns:xs="http://www.w3.org/2001/XMLSchema" xmlns:p="http://schemas.microsoft.com/office/2006/metadata/properties" xmlns:ns2="ba5447ae-4155-42e6-b025-397a2e535f00" targetNamespace="http://schemas.microsoft.com/office/2006/metadata/properties" ma:root="true" ma:fieldsID="e874a49336648da6f2387c6770ac90a3" ns2:_="">
    <xsd:import namespace="ba5447ae-4155-42e6-b025-397a2e535f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Reviewed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5447ae-4155-42e6-b025-397a2e535f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Reviewed" ma:index="11" nillable="true" ma:displayName="Reviewed" ma:default="0" ma:format="Dropdown" ma:internalName="Reviewed">
      <xsd:simpleType>
        <xsd:restriction base="dms:Boolean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637CCC-7B20-4CD1-B7BD-B2124DFF480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AE99B69-4FC2-4F38-899E-95CE9D1D06C3}">
  <ds:schemaRefs>
    <ds:schemaRef ds:uri="http://schemas.microsoft.com/office/2006/metadata/properties"/>
    <ds:schemaRef ds:uri="http://schemas.microsoft.com/office/infopath/2007/PartnerControls"/>
    <ds:schemaRef ds:uri="ba5447ae-4155-42e6-b025-397a2e535f00"/>
  </ds:schemaRefs>
</ds:datastoreItem>
</file>

<file path=customXml/itemProps3.xml><?xml version="1.0" encoding="utf-8"?>
<ds:datastoreItem xmlns:ds="http://schemas.openxmlformats.org/officeDocument/2006/customXml" ds:itemID="{7ACAB3BE-CC09-4338-B154-F670D759D22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2011A1-59F9-4C81-8687-9CFBC3B391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5447ae-4155-42e6-b025-397a2e535f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Caldwell, John</dc:creator>
  <cp:keywords/>
  <dc:description/>
  <cp:lastModifiedBy>Joshua Courter</cp:lastModifiedBy>
  <cp:revision>12</cp:revision>
  <cp:lastPrinted>2019-05-08T14:32:00Z</cp:lastPrinted>
  <dcterms:created xsi:type="dcterms:W3CDTF">2022-12-08T19:34:00Z</dcterms:created>
  <dcterms:modified xsi:type="dcterms:W3CDTF">2024-12-13T20:30:00Z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0x010100C8DCAA7385A8344DA610B979824A9B22</vt:lpwstr>
  </property>
</Properties>
</file>